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956E" w14:textId="77777777" w:rsidR="004040B5" w:rsidRDefault="00A555FD" w:rsidP="004040B5">
      <w:r>
        <w:rPr>
          <w:noProof/>
        </w:rPr>
        <w:drawing>
          <wp:anchor distT="0" distB="0" distL="114300" distR="114300" simplePos="0" relativeHeight="251658240" behindDoc="0" locked="0" layoutInCell="1" allowOverlap="1" wp14:anchorId="6B6795CD" wp14:editId="6B6795CE">
            <wp:simplePos x="0" y="0"/>
            <wp:positionH relativeFrom="margin">
              <wp:align>left</wp:align>
            </wp:positionH>
            <wp:positionV relativeFrom="margin">
              <wp:posOffset>-314325</wp:posOffset>
            </wp:positionV>
            <wp:extent cx="2393950" cy="497205"/>
            <wp:effectExtent l="0" t="0" r="6350" b="0"/>
            <wp:wrapSquare wrapText="bothSides"/>
            <wp:docPr id="6" name="Picture 6" title="Australian Government Department of Climate Change, Energy, the Environment and Wa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231065"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93950" cy="497205"/>
                    </a:xfrm>
                    <a:prstGeom prst="rect">
                      <a:avLst/>
                    </a:prstGeom>
                    <a:ln>
                      <a:noFill/>
                    </a:ln>
                    <a:extLs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lc="http://schemas.openxmlformats.org/drawingml/2006/lockedCanvas" xmlns:arto="http://schemas.microsoft.com/office/word/2006/arto" xmlns:a14="http://schemas.microsoft.com/office/drawing/2010/main" xmlns=""/>
                      </a:ext>
                    </a:extLst>
                  </pic:spPr>
                </pic:pic>
              </a:graphicData>
            </a:graphic>
          </wp:anchor>
        </w:drawing>
      </w:r>
    </w:p>
    <w:p w14:paraId="6B67956F" w14:textId="77777777" w:rsidR="004040B5" w:rsidRPr="004040B5" w:rsidRDefault="004040B5" w:rsidP="004040B5"/>
    <w:p w14:paraId="6B679570" w14:textId="77777777" w:rsidR="00B55FF2" w:rsidRDefault="00B55FF2" w:rsidP="004040B5">
      <w:pPr>
        <w:pStyle w:val="Heading1"/>
      </w:pPr>
    </w:p>
    <w:p w14:paraId="6B679571" w14:textId="77777777" w:rsidR="004040B5" w:rsidRDefault="00A555FD" w:rsidP="004040B5">
      <w:pPr>
        <w:pStyle w:val="Heading1"/>
        <w:rPr>
          <w:rStyle w:val="Emphasis"/>
        </w:rPr>
      </w:pPr>
      <w:r>
        <w:t>Response to public submissions on draft default guideline values for</w:t>
      </w:r>
      <w:r w:rsidR="00B745B2">
        <w:t xml:space="preserve"> </w:t>
      </w:r>
      <w:r w:rsidR="00930B81">
        <w:t xml:space="preserve">alpha-cypermethrin, </w:t>
      </w:r>
      <w:r w:rsidR="004E6A7F" w:rsidRPr="004E6A7F">
        <w:t>dioxins</w:t>
      </w:r>
      <w:r w:rsidR="00930B81">
        <w:t>, fipronil and mancozeb</w:t>
      </w:r>
      <w:r w:rsidR="004E6A7F" w:rsidRPr="004E6A7F">
        <w:t xml:space="preserve"> in fresh</w:t>
      </w:r>
      <w:r>
        <w:t xml:space="preserve">water </w:t>
      </w:r>
    </w:p>
    <w:p w14:paraId="6B679572" w14:textId="77777777" w:rsidR="004040B5" w:rsidRPr="004E6A7F" w:rsidRDefault="00A555FD" w:rsidP="004040B5">
      <w:pPr>
        <w:pStyle w:val="Subtitle"/>
        <w:rPr>
          <w:color w:val="auto"/>
        </w:rPr>
      </w:pPr>
      <w:r w:rsidRPr="004E6A7F">
        <w:rPr>
          <w:color w:val="auto"/>
        </w:rPr>
        <w:t>July 2023</w:t>
      </w:r>
    </w:p>
    <w:p w14:paraId="6B679573" w14:textId="77777777" w:rsidR="004040B5" w:rsidRDefault="004040B5" w:rsidP="004040B5"/>
    <w:p w14:paraId="6B679574" w14:textId="77777777" w:rsidR="00A60014" w:rsidRPr="00A60014" w:rsidRDefault="00A555FD"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sidR="0095597F" w:rsidRPr="0095597F">
        <w:rPr>
          <w:rFonts w:asciiTheme="minorHAnsi" w:hAnsiTheme="minorHAnsi" w:cstheme="minorHAnsi"/>
          <w:sz w:val="22"/>
          <w:szCs w:val="22"/>
        </w:rPr>
        <w:t>alpha-cypermethrin, dioxins, fipronil and mancozeb</w:t>
      </w:r>
      <w:r w:rsidR="004E6A7F" w:rsidRPr="004E6A7F">
        <w:rPr>
          <w:rFonts w:asciiTheme="minorHAnsi" w:hAnsiTheme="minorHAnsi" w:cstheme="minorHAnsi"/>
          <w:sz w:val="22"/>
          <w:szCs w:val="22"/>
        </w:rPr>
        <w:t xml:space="preserve"> in freshwater</w:t>
      </w:r>
      <w:r w:rsidRPr="004E6A7F">
        <w:rPr>
          <w:rFonts w:asciiTheme="minorHAnsi" w:hAnsiTheme="minorHAnsi" w:cstheme="minorHAnsi"/>
          <w:sz w:val="22"/>
          <w:szCs w:val="22"/>
        </w:rPr>
        <w:t xml:space="preserve"> </w:t>
      </w:r>
      <w:r w:rsidRPr="00A60014">
        <w:rPr>
          <w:rFonts w:asciiTheme="minorHAnsi" w:hAnsiTheme="minorHAnsi" w:cstheme="minorHAnsi"/>
          <w:sz w:val="22"/>
          <w:szCs w:val="22"/>
        </w:rPr>
        <w:t>were published on the Water Quality Guidelines website for a</w:t>
      </w:r>
      <w:r w:rsidRPr="004E6A7F">
        <w:rPr>
          <w:rFonts w:asciiTheme="minorHAnsi" w:hAnsiTheme="minorHAnsi" w:cstheme="minorHAnsi"/>
          <w:sz w:val="22"/>
          <w:szCs w:val="22"/>
        </w:rPr>
        <w:t xml:space="preserve"> </w:t>
      </w:r>
      <w:r w:rsidR="004E6A7F" w:rsidRPr="004E6A7F">
        <w:rPr>
          <w:rFonts w:asciiTheme="minorHAnsi" w:hAnsiTheme="minorHAnsi" w:cstheme="minorHAnsi"/>
          <w:sz w:val="22"/>
          <w:szCs w:val="22"/>
        </w:rPr>
        <w:t>3</w:t>
      </w:r>
      <w:r w:rsidRPr="004E6A7F">
        <w:rPr>
          <w:rFonts w:asciiTheme="minorHAnsi" w:hAnsiTheme="minorHAnsi" w:cstheme="minorHAnsi"/>
          <w:sz w:val="22"/>
          <w:szCs w:val="22"/>
        </w:rPr>
        <w:t xml:space="preserve">-month </w:t>
      </w:r>
      <w:r w:rsidRPr="00A60014">
        <w:rPr>
          <w:rFonts w:asciiTheme="minorHAnsi" w:hAnsiTheme="minorHAnsi" w:cstheme="minorHAnsi"/>
          <w:sz w:val="22"/>
          <w:szCs w:val="22"/>
        </w:rPr>
        <w:t>public consultation period</w:t>
      </w:r>
      <w:r w:rsidR="0095597F">
        <w:rPr>
          <w:rFonts w:asciiTheme="minorHAnsi" w:hAnsiTheme="minorHAnsi" w:cstheme="minorHAnsi"/>
          <w:sz w:val="22"/>
          <w:szCs w:val="22"/>
        </w:rPr>
        <w:t xml:space="preserve"> from June to August 2021</w:t>
      </w:r>
      <w:r w:rsidRPr="00A60014">
        <w:rPr>
          <w:rFonts w:asciiTheme="minorHAnsi" w:hAnsiTheme="minorHAnsi" w:cstheme="minorHAnsi"/>
          <w:sz w:val="22"/>
          <w:szCs w:val="22"/>
        </w:rPr>
        <w:t xml:space="preserve">. During this period, comments for the draft DGVs for </w:t>
      </w:r>
      <w:r w:rsidR="004E6A7F" w:rsidRPr="004E6A7F">
        <w:rPr>
          <w:rFonts w:asciiTheme="minorHAnsi" w:hAnsiTheme="minorHAnsi" w:cstheme="minorHAnsi"/>
          <w:sz w:val="22"/>
          <w:szCs w:val="22"/>
        </w:rPr>
        <w:t xml:space="preserve">dioxins in freshwater </w:t>
      </w:r>
      <w:r w:rsidRPr="00A60014">
        <w:rPr>
          <w:rFonts w:asciiTheme="minorHAnsi" w:hAnsiTheme="minorHAnsi" w:cstheme="minorHAnsi"/>
          <w:sz w:val="22"/>
          <w:szCs w:val="22"/>
        </w:rPr>
        <w:t>were received via public submission.</w:t>
      </w:r>
    </w:p>
    <w:p w14:paraId="6B679575" w14:textId="77777777" w:rsidR="00A60014" w:rsidRPr="00A60014" w:rsidRDefault="00A555FD"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Response</w:t>
      </w:r>
      <w:r w:rsidRPr="00A60014">
        <w:rPr>
          <w:rFonts w:asciiTheme="minorHAnsi" w:hAnsiTheme="minorHAnsi" w:cstheme="minorHAnsi"/>
          <w:sz w:val="22"/>
          <w:szCs w:val="22"/>
        </w:rPr>
        <w:t xml:space="preserve">s to comments and any associated edits to the draft DGV technical brief are outlined in this report, de-identified for public record. </w:t>
      </w:r>
      <w:r w:rsidR="0095597F">
        <w:rPr>
          <w:rFonts w:asciiTheme="minorHAnsi" w:hAnsiTheme="minorHAnsi" w:cstheme="minorHAnsi"/>
          <w:sz w:val="22"/>
          <w:szCs w:val="22"/>
        </w:rPr>
        <w:t>Where required, t</w:t>
      </w:r>
      <w:r w:rsidR="0095597F" w:rsidRPr="00A60014">
        <w:rPr>
          <w:rFonts w:asciiTheme="minorHAnsi" w:hAnsiTheme="minorHAnsi" w:cstheme="minorHAnsi"/>
          <w:sz w:val="22"/>
          <w:szCs w:val="22"/>
        </w:rPr>
        <w:t xml:space="preserve">he </w:t>
      </w:r>
      <w:r w:rsidRPr="00A60014">
        <w:rPr>
          <w:rFonts w:asciiTheme="minorHAnsi" w:hAnsiTheme="minorHAnsi" w:cstheme="minorHAnsi"/>
          <w:sz w:val="22"/>
          <w:szCs w:val="22"/>
        </w:rPr>
        <w:t xml:space="preserve">responses and revisions have been approved by the original peer </w:t>
      </w:r>
      <w:r w:rsidRPr="00524363">
        <w:rPr>
          <w:rFonts w:asciiTheme="minorHAnsi" w:hAnsiTheme="minorHAnsi" w:cstheme="minorHAnsi"/>
          <w:sz w:val="22"/>
          <w:szCs w:val="22"/>
        </w:rPr>
        <w:t>reviewers</w:t>
      </w:r>
      <w:r w:rsidR="00524363" w:rsidRPr="00CD2FA9">
        <w:rPr>
          <w:rStyle w:val="CommentReference"/>
          <w:rFonts w:ascii="Calibri" w:eastAsia="Calibri" w:hAnsi="Calibri"/>
          <w:sz w:val="22"/>
          <w:szCs w:val="22"/>
          <w:lang w:eastAsia="en-US"/>
        </w:rPr>
        <w:t xml:space="preserve"> and</w:t>
      </w:r>
      <w:r w:rsidR="00524363">
        <w:rPr>
          <w:rStyle w:val="CommentReference"/>
          <w:rFonts w:ascii="Calibri" w:eastAsia="Calibri" w:hAnsi="Calibri"/>
          <w:lang w:eastAsia="en-US"/>
        </w:rPr>
        <w:t xml:space="preserve"> </w:t>
      </w:r>
      <w:r w:rsidRPr="00A60014">
        <w:rPr>
          <w:rFonts w:asciiTheme="minorHAnsi" w:hAnsiTheme="minorHAnsi" w:cstheme="minorHAnsi"/>
          <w:sz w:val="22"/>
          <w:szCs w:val="22"/>
        </w:rPr>
        <w:t xml:space="preserve">the jurisdictional technical and policy oversight </w:t>
      </w:r>
      <w:proofErr w:type="gramStart"/>
      <w:r w:rsidR="00E277EE" w:rsidRPr="00A60014">
        <w:rPr>
          <w:rFonts w:asciiTheme="minorHAnsi" w:hAnsiTheme="minorHAnsi" w:cstheme="minorHAnsi"/>
          <w:sz w:val="22"/>
          <w:szCs w:val="22"/>
        </w:rPr>
        <w:t>group</w:t>
      </w:r>
      <w:r w:rsidR="00E277EE" w:rsidRPr="00D354D0">
        <w:rPr>
          <w:rFonts w:asciiTheme="minorHAnsi" w:hAnsiTheme="minorHAnsi" w:cstheme="minorHAnsi"/>
          <w:sz w:val="22"/>
          <w:szCs w:val="22"/>
        </w:rPr>
        <w:t>s</w:t>
      </w:r>
      <w:r w:rsidR="00524363" w:rsidRPr="00D354D0">
        <w:rPr>
          <w:rFonts w:asciiTheme="minorHAnsi" w:hAnsiTheme="minorHAnsi" w:cstheme="minorHAnsi"/>
          <w:sz w:val="22"/>
          <w:szCs w:val="22"/>
        </w:rPr>
        <w:t>,</w:t>
      </w:r>
      <w:r w:rsidR="00E277EE" w:rsidRPr="00D354D0">
        <w:rPr>
          <w:rFonts w:asciiTheme="minorHAnsi" w:hAnsiTheme="minorHAnsi" w:cstheme="minorHAnsi"/>
          <w:sz w:val="22"/>
          <w:szCs w:val="22"/>
        </w:rPr>
        <w:t xml:space="preserve"> and</w:t>
      </w:r>
      <w:proofErr w:type="gramEnd"/>
      <w:r w:rsidRPr="00D354D0">
        <w:rPr>
          <w:rFonts w:asciiTheme="minorHAnsi" w:hAnsiTheme="minorHAnsi" w:cstheme="minorHAnsi"/>
          <w:sz w:val="22"/>
          <w:szCs w:val="22"/>
        </w:rPr>
        <w:t xml:space="preserve"> noted by the National Water Reform Committee. </w:t>
      </w:r>
      <w:r w:rsidR="0095597F">
        <w:rPr>
          <w:rFonts w:asciiTheme="minorHAnsi" w:hAnsiTheme="minorHAnsi" w:cstheme="minorHAnsi"/>
          <w:sz w:val="22"/>
          <w:szCs w:val="22"/>
        </w:rPr>
        <w:t>The final versions may include additional minor improvements made during the final jurisdictional review and approval process.</w:t>
      </w:r>
    </w:p>
    <w:p w14:paraId="6B679576" w14:textId="77777777" w:rsidR="00B55FF2" w:rsidRDefault="00A555FD" w:rsidP="00B55FF2">
      <w:r>
        <w:t>The default guideline</w:t>
      </w:r>
      <w:r>
        <w:t xml:space="preserve"> values for </w:t>
      </w:r>
      <w:r w:rsidR="0095597F">
        <w:t xml:space="preserve">alpha-cypermethrin, </w:t>
      </w:r>
      <w:r w:rsidR="0095597F" w:rsidRPr="004E6A7F">
        <w:t>dioxins</w:t>
      </w:r>
      <w:r w:rsidR="0095597F">
        <w:t>, fipronil and mancozeb</w:t>
      </w:r>
      <w:r w:rsidR="004E6A7F" w:rsidRPr="004E6A7F">
        <w:rPr>
          <w:rFonts w:asciiTheme="minorHAnsi" w:hAnsiTheme="minorHAnsi" w:cstheme="minorHAnsi"/>
        </w:rPr>
        <w:t xml:space="preserve"> in freshwater </w:t>
      </w:r>
      <w:r>
        <w:t xml:space="preserve">are now published as final. For additional information on the publication process, please refer to the </w:t>
      </w:r>
      <w:hyperlink r:id="rId11" w:history="1">
        <w:r w:rsidRPr="004040B5">
          <w:rPr>
            <w:rStyle w:val="Hyperlink"/>
          </w:rPr>
          <w:t>pathway for toxicant default guideline value publication</w:t>
        </w:r>
      </w:hyperlink>
      <w:r>
        <w:t>.</w:t>
      </w:r>
    </w:p>
    <w:p w14:paraId="6B679577" w14:textId="77777777" w:rsidR="00B55FF2" w:rsidRPr="00A60014" w:rsidRDefault="00A555FD" w:rsidP="00B55FF2">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The Water Quality Guidelines Improvement Program thanks all submissions for their valuable contribution to the development of </w:t>
      </w:r>
      <w:r w:rsidRPr="00A60014">
        <w:rPr>
          <w:rFonts w:asciiTheme="minorHAnsi" w:hAnsiTheme="minorHAnsi" w:cstheme="minorHAnsi"/>
          <w:sz w:val="22"/>
          <w:szCs w:val="22"/>
        </w:rPr>
        <w:t>default guideline values for the protection of aquatic ecosystems.</w:t>
      </w:r>
    </w:p>
    <w:p w14:paraId="6B679578" w14:textId="77777777" w:rsidR="00A60014" w:rsidRDefault="00A60014" w:rsidP="004040B5"/>
    <w:p w14:paraId="6B679579" w14:textId="77777777" w:rsidR="00B2382D" w:rsidRDefault="00B2382D" w:rsidP="004040B5"/>
    <w:p w14:paraId="6B67957A" w14:textId="77777777" w:rsidR="00B2382D" w:rsidRDefault="00B2382D" w:rsidP="004040B5"/>
    <w:p w14:paraId="6B67957B" w14:textId="77777777" w:rsidR="00B2382D" w:rsidRDefault="00B2382D" w:rsidP="004040B5"/>
    <w:p w14:paraId="6B67957C" w14:textId="77777777" w:rsidR="00F4111F" w:rsidRDefault="00F4111F" w:rsidP="00B745B2">
      <w:pPr>
        <w:tabs>
          <w:tab w:val="left" w:pos="7520"/>
        </w:tabs>
      </w:pPr>
    </w:p>
    <w:p w14:paraId="6B67957D" w14:textId="77777777" w:rsidR="00F4111F" w:rsidRDefault="00F4111F" w:rsidP="00B745B2">
      <w:pPr>
        <w:tabs>
          <w:tab w:val="left" w:pos="7520"/>
        </w:tabs>
      </w:pPr>
    </w:p>
    <w:p w14:paraId="6B67957E" w14:textId="77777777" w:rsidR="00F4111F" w:rsidRDefault="00F4111F" w:rsidP="00B745B2">
      <w:pPr>
        <w:tabs>
          <w:tab w:val="left" w:pos="7520"/>
        </w:tabs>
      </w:pPr>
    </w:p>
    <w:p w14:paraId="6B67957F" w14:textId="77777777" w:rsidR="00F4111F" w:rsidRDefault="00F4111F" w:rsidP="00B745B2">
      <w:pPr>
        <w:tabs>
          <w:tab w:val="left" w:pos="7520"/>
        </w:tabs>
      </w:pPr>
    </w:p>
    <w:p w14:paraId="6B679580" w14:textId="77777777" w:rsidR="00F4111F" w:rsidRDefault="00F4111F" w:rsidP="00B745B2">
      <w:pPr>
        <w:tabs>
          <w:tab w:val="left" w:pos="7520"/>
        </w:tabs>
      </w:pPr>
    </w:p>
    <w:p w14:paraId="6B679581" w14:textId="77777777" w:rsidR="00F4111F" w:rsidRDefault="00F4111F" w:rsidP="00B745B2">
      <w:pPr>
        <w:tabs>
          <w:tab w:val="left" w:pos="7520"/>
        </w:tabs>
      </w:pPr>
    </w:p>
    <w:p w14:paraId="6B679582" w14:textId="77777777" w:rsidR="00B2382D" w:rsidRDefault="00B2382D" w:rsidP="00B745B2">
      <w:pPr>
        <w:tabs>
          <w:tab w:val="left" w:pos="7520"/>
        </w:tabs>
        <w:sectPr w:rsidR="00B2382D" w:rsidSect="00B2382D">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14:paraId="6B679583" w14:textId="77777777" w:rsidR="00B55FF2" w:rsidRPr="00B55FF2" w:rsidRDefault="00A555FD" w:rsidP="00B55FF2">
      <w:pPr>
        <w:pStyle w:val="Heading1"/>
        <w:spacing w:after="120"/>
        <w:rPr>
          <w:sz w:val="28"/>
        </w:rPr>
      </w:pPr>
      <w:r w:rsidRPr="00B55FF2">
        <w:rPr>
          <w:sz w:val="28"/>
        </w:rPr>
        <w:lastRenderedPageBreak/>
        <w:t>Department of Climate Change, Energy, the Envir</w:t>
      </w:r>
      <w:r w:rsidRPr="00B55FF2">
        <w:rPr>
          <w:sz w:val="28"/>
        </w:rPr>
        <w:t>onment and Water’s response to public submissions on draft default guideline values</w:t>
      </w:r>
    </w:p>
    <w:p w14:paraId="6B679584" w14:textId="77777777" w:rsidR="00B55FF2" w:rsidRPr="00C93289" w:rsidRDefault="00A555FD" w:rsidP="00B55FF2">
      <w:pPr>
        <w:pStyle w:val="Heading2"/>
        <w:spacing w:after="240"/>
      </w:pPr>
      <w:r w:rsidRPr="00C93289">
        <w:t>Toxicant</w:t>
      </w:r>
      <w:r w:rsidR="00842A7A">
        <w:t>s</w:t>
      </w:r>
      <w:r w:rsidRPr="00C93289">
        <w:t xml:space="preserve">: </w:t>
      </w:r>
      <w:r w:rsidR="00842A7A" w:rsidRPr="00C07E4B">
        <w:rPr>
          <w:b w:val="0"/>
          <w:bCs w:val="0"/>
          <w:color w:val="auto"/>
        </w:rPr>
        <w:t>al</w:t>
      </w:r>
      <w:r w:rsidR="00842A7A" w:rsidRPr="00842A7A">
        <w:rPr>
          <w:b w:val="0"/>
          <w:bCs w:val="0"/>
          <w:color w:val="auto"/>
        </w:rPr>
        <w:t>pha-cypermethrin, dioxins, fipronil and mancozeb in freshwater</w:t>
      </w:r>
    </w:p>
    <w:tbl>
      <w:tblPr>
        <w:tblStyle w:val="TableGrid"/>
        <w:tblW w:w="14233" w:type="dxa"/>
        <w:tblLook w:val="04A0" w:firstRow="1" w:lastRow="0" w:firstColumn="1" w:lastColumn="0" w:noHBand="0" w:noVBand="1"/>
      </w:tblPr>
      <w:tblGrid>
        <w:gridCol w:w="1033"/>
        <w:gridCol w:w="4774"/>
        <w:gridCol w:w="6663"/>
        <w:gridCol w:w="1763"/>
      </w:tblGrid>
      <w:tr w:rsidR="00031182" w14:paraId="6B679589" w14:textId="77777777" w:rsidTr="00941D43">
        <w:trPr>
          <w:tblHeader/>
        </w:trPr>
        <w:tc>
          <w:tcPr>
            <w:tcW w:w="1033" w:type="dxa"/>
          </w:tcPr>
          <w:p w14:paraId="6B679585" w14:textId="77777777" w:rsidR="00B55FF2" w:rsidRPr="00C93289" w:rsidRDefault="00A555FD" w:rsidP="00941D43">
            <w:pPr>
              <w:spacing w:before="60" w:after="60" w:line="280" w:lineRule="atLeast"/>
              <w:rPr>
                <w:b/>
                <w:bCs/>
                <w:sz w:val="20"/>
                <w:szCs w:val="20"/>
              </w:rPr>
            </w:pPr>
            <w:r>
              <w:rPr>
                <w:b/>
                <w:bCs/>
                <w:sz w:val="20"/>
                <w:szCs w:val="20"/>
              </w:rPr>
              <w:t>Comment No.</w:t>
            </w:r>
          </w:p>
        </w:tc>
        <w:tc>
          <w:tcPr>
            <w:tcW w:w="4774" w:type="dxa"/>
          </w:tcPr>
          <w:p w14:paraId="6B679586" w14:textId="77777777" w:rsidR="00B55FF2" w:rsidRPr="00C93289" w:rsidRDefault="00A555FD" w:rsidP="00941D43">
            <w:pPr>
              <w:spacing w:before="60" w:after="60" w:line="280" w:lineRule="atLeast"/>
              <w:rPr>
                <w:b/>
                <w:bCs/>
                <w:sz w:val="20"/>
                <w:szCs w:val="20"/>
              </w:rPr>
            </w:pPr>
            <w:r w:rsidRPr="00C93289">
              <w:rPr>
                <w:b/>
                <w:bCs/>
                <w:sz w:val="20"/>
                <w:szCs w:val="20"/>
              </w:rPr>
              <w:t>Comment</w:t>
            </w:r>
          </w:p>
        </w:tc>
        <w:tc>
          <w:tcPr>
            <w:tcW w:w="6663" w:type="dxa"/>
          </w:tcPr>
          <w:p w14:paraId="6B679587" w14:textId="77777777" w:rsidR="00B55FF2" w:rsidRPr="00C93289" w:rsidRDefault="00A555FD" w:rsidP="00941D43">
            <w:pPr>
              <w:spacing w:before="60" w:after="60" w:line="280" w:lineRule="atLeast"/>
              <w:rPr>
                <w:b/>
                <w:bCs/>
                <w:sz w:val="20"/>
                <w:szCs w:val="20"/>
              </w:rPr>
            </w:pPr>
            <w:r w:rsidRPr="00C93289">
              <w:rPr>
                <w:b/>
                <w:bCs/>
                <w:sz w:val="20"/>
                <w:szCs w:val="20"/>
              </w:rPr>
              <w:t>Response</w:t>
            </w:r>
          </w:p>
        </w:tc>
        <w:tc>
          <w:tcPr>
            <w:tcW w:w="1763" w:type="dxa"/>
          </w:tcPr>
          <w:p w14:paraId="6B679588" w14:textId="77777777" w:rsidR="00B55FF2" w:rsidRPr="00C93289" w:rsidRDefault="00A555FD" w:rsidP="00941D43">
            <w:pPr>
              <w:spacing w:before="60" w:after="60" w:line="280" w:lineRule="atLeast"/>
              <w:rPr>
                <w:b/>
                <w:bCs/>
                <w:sz w:val="20"/>
                <w:szCs w:val="20"/>
              </w:rPr>
            </w:pPr>
            <w:r>
              <w:rPr>
                <w:b/>
                <w:bCs/>
                <w:sz w:val="20"/>
                <w:szCs w:val="20"/>
              </w:rPr>
              <w:t>A</w:t>
            </w:r>
            <w:r w:rsidRPr="00C93289">
              <w:rPr>
                <w:b/>
                <w:bCs/>
                <w:sz w:val="20"/>
                <w:szCs w:val="20"/>
              </w:rPr>
              <w:t>ction</w:t>
            </w:r>
            <w:r>
              <w:rPr>
                <w:b/>
                <w:bCs/>
                <w:sz w:val="20"/>
                <w:szCs w:val="20"/>
              </w:rPr>
              <w:t xml:space="preserve"> taken</w:t>
            </w:r>
          </w:p>
        </w:tc>
      </w:tr>
      <w:tr w:rsidR="00031182" w14:paraId="6B67958B" w14:textId="77777777" w:rsidTr="00941D43">
        <w:tc>
          <w:tcPr>
            <w:tcW w:w="14233" w:type="dxa"/>
            <w:gridSpan w:val="4"/>
          </w:tcPr>
          <w:p w14:paraId="6B67958A" w14:textId="77777777" w:rsidR="00B55FF2" w:rsidRDefault="00A555FD" w:rsidP="00941D43">
            <w:pPr>
              <w:spacing w:before="60" w:after="60"/>
              <w:rPr>
                <w:sz w:val="18"/>
                <w:szCs w:val="18"/>
              </w:rPr>
            </w:pPr>
            <w:r w:rsidRPr="00682D15">
              <w:rPr>
                <w:i/>
                <w:iCs/>
                <w:sz w:val="18"/>
                <w:szCs w:val="18"/>
              </w:rPr>
              <w:t xml:space="preserve">Note: Only excerpts from the submission that require responses </w:t>
            </w:r>
            <w:r>
              <w:rPr>
                <w:i/>
                <w:iCs/>
                <w:sz w:val="18"/>
                <w:szCs w:val="18"/>
              </w:rPr>
              <w:t>have been</w:t>
            </w:r>
            <w:r w:rsidRPr="00682D15">
              <w:rPr>
                <w:i/>
                <w:iCs/>
                <w:sz w:val="18"/>
                <w:szCs w:val="18"/>
              </w:rPr>
              <w:t xml:space="preserve"> reproduced here.</w:t>
            </w:r>
          </w:p>
        </w:tc>
      </w:tr>
      <w:tr w:rsidR="00031182" w14:paraId="6B679591" w14:textId="77777777" w:rsidTr="00941D43">
        <w:tc>
          <w:tcPr>
            <w:tcW w:w="1033" w:type="dxa"/>
          </w:tcPr>
          <w:p w14:paraId="6B67958C" w14:textId="77777777" w:rsidR="00B55FF2" w:rsidRPr="00D260F6" w:rsidRDefault="00A555FD" w:rsidP="00941D43">
            <w:pPr>
              <w:spacing w:before="60" w:after="60"/>
              <w:rPr>
                <w:sz w:val="18"/>
                <w:szCs w:val="18"/>
              </w:rPr>
            </w:pPr>
            <w:r>
              <w:rPr>
                <w:sz w:val="18"/>
                <w:szCs w:val="18"/>
              </w:rPr>
              <w:t>1</w:t>
            </w:r>
          </w:p>
        </w:tc>
        <w:tc>
          <w:tcPr>
            <w:tcW w:w="4774" w:type="dxa"/>
          </w:tcPr>
          <w:p w14:paraId="6B67958D" w14:textId="77777777" w:rsidR="00B55FF2" w:rsidRPr="003E0C84" w:rsidRDefault="00A555FD" w:rsidP="00941D43">
            <w:pPr>
              <w:spacing w:before="60" w:after="60"/>
              <w:rPr>
                <w:bCs/>
                <w:iCs/>
                <w:sz w:val="18"/>
                <w:szCs w:val="18"/>
                <w:lang w:val="en-GB"/>
              </w:rPr>
            </w:pPr>
            <w:r w:rsidRPr="003E0C84">
              <w:rPr>
                <w:bCs/>
                <w:iCs/>
                <w:sz w:val="18"/>
                <w:szCs w:val="18"/>
                <w:lang w:val="en-GB"/>
              </w:rPr>
              <w:t>While the default guideline values (DGV), provide an avenue to align best</w:t>
            </w:r>
            <w:r>
              <w:rPr>
                <w:bCs/>
                <w:iCs/>
                <w:sz w:val="18"/>
                <w:szCs w:val="18"/>
                <w:lang w:val="en-GB"/>
              </w:rPr>
              <w:t xml:space="preserve"> </w:t>
            </w:r>
            <w:r w:rsidRPr="003E0C84">
              <w:rPr>
                <w:bCs/>
                <w:iCs/>
                <w:sz w:val="18"/>
                <w:szCs w:val="18"/>
                <w:lang w:val="en-GB"/>
              </w:rPr>
              <w:t>management practices, it is also to be noted that actual risks associated with toxicity c</w:t>
            </w:r>
            <w:r w:rsidRPr="003E0C84">
              <w:rPr>
                <w:bCs/>
                <w:iCs/>
                <w:sz w:val="18"/>
                <w:szCs w:val="18"/>
                <w:lang w:val="en-GB"/>
              </w:rPr>
              <w:t>an be difficult to</w:t>
            </w:r>
            <w:r>
              <w:rPr>
                <w:bCs/>
                <w:iCs/>
                <w:sz w:val="18"/>
                <w:szCs w:val="18"/>
                <w:lang w:val="en-GB"/>
              </w:rPr>
              <w:t xml:space="preserve"> </w:t>
            </w:r>
            <w:r w:rsidRPr="003E0C84">
              <w:rPr>
                <w:bCs/>
                <w:iCs/>
                <w:sz w:val="18"/>
                <w:szCs w:val="18"/>
                <w:lang w:val="en-GB"/>
              </w:rPr>
              <w:t>quantify (Navarro et al., 2021). This is because metrics such as pesticide use (kg/ha) or spray</w:t>
            </w:r>
            <w:r>
              <w:rPr>
                <w:bCs/>
                <w:iCs/>
                <w:sz w:val="18"/>
                <w:szCs w:val="18"/>
                <w:lang w:val="en-GB"/>
              </w:rPr>
              <w:t xml:space="preserve"> </w:t>
            </w:r>
            <w:r w:rsidRPr="003E0C84">
              <w:rPr>
                <w:bCs/>
                <w:iCs/>
                <w:sz w:val="18"/>
                <w:szCs w:val="18"/>
                <w:lang w:val="en-GB"/>
              </w:rPr>
              <w:t>frequencies are commonly reported in aggregated form and are not linearly related to toxicity hazard</w:t>
            </w:r>
            <w:r>
              <w:rPr>
                <w:bCs/>
                <w:iCs/>
                <w:sz w:val="18"/>
                <w:szCs w:val="18"/>
                <w:lang w:val="en-GB"/>
              </w:rPr>
              <w:t xml:space="preserve"> </w:t>
            </w:r>
            <w:r w:rsidRPr="003E0C84">
              <w:rPr>
                <w:bCs/>
                <w:iCs/>
                <w:sz w:val="18"/>
                <w:szCs w:val="18"/>
                <w:lang w:val="en-GB"/>
              </w:rPr>
              <w:t>and therefore a</w:t>
            </w:r>
            <w:r>
              <w:rPr>
                <w:bCs/>
                <w:iCs/>
                <w:sz w:val="18"/>
                <w:szCs w:val="18"/>
                <w:lang w:val="en-GB"/>
              </w:rPr>
              <w:t>re</w:t>
            </w:r>
            <w:r w:rsidRPr="003E0C84">
              <w:rPr>
                <w:bCs/>
                <w:iCs/>
                <w:sz w:val="18"/>
                <w:szCs w:val="18"/>
                <w:lang w:val="en-GB"/>
              </w:rPr>
              <w:t xml:space="preserve"> less informative in driving reductions in impact. A toxicity hazard or similar would</w:t>
            </w:r>
            <w:r>
              <w:rPr>
                <w:bCs/>
                <w:iCs/>
                <w:sz w:val="18"/>
                <w:szCs w:val="18"/>
                <w:lang w:val="en-GB"/>
              </w:rPr>
              <w:t xml:space="preserve"> </w:t>
            </w:r>
            <w:r w:rsidRPr="003E0C84">
              <w:rPr>
                <w:bCs/>
                <w:iCs/>
                <w:sz w:val="18"/>
                <w:szCs w:val="18"/>
                <w:lang w:val="en-GB"/>
              </w:rPr>
              <w:t>provide a more suitable indicator.</w:t>
            </w:r>
          </w:p>
        </w:tc>
        <w:tc>
          <w:tcPr>
            <w:tcW w:w="6663" w:type="dxa"/>
          </w:tcPr>
          <w:p w14:paraId="6B67958E" w14:textId="77777777" w:rsidR="00B55FF2" w:rsidRDefault="00A555FD" w:rsidP="00941D43">
            <w:pPr>
              <w:autoSpaceDE w:val="0"/>
              <w:autoSpaceDN w:val="0"/>
              <w:adjustRightInd w:val="0"/>
              <w:spacing w:before="60" w:after="60"/>
              <w:rPr>
                <w:sz w:val="18"/>
                <w:szCs w:val="18"/>
              </w:rPr>
            </w:pPr>
            <w:r>
              <w:rPr>
                <w:sz w:val="18"/>
                <w:szCs w:val="18"/>
              </w:rPr>
              <w:t xml:space="preserve">Toxicant risk is governed by two key factors – the </w:t>
            </w:r>
            <w:r w:rsidRPr="00D61529">
              <w:rPr>
                <w:i/>
                <w:iCs/>
                <w:sz w:val="18"/>
                <w:szCs w:val="18"/>
              </w:rPr>
              <w:t>effect</w:t>
            </w:r>
            <w:r>
              <w:rPr>
                <w:sz w:val="18"/>
                <w:szCs w:val="18"/>
              </w:rPr>
              <w:t xml:space="preserve"> that a chemical has (also often referred to as the hazard) and its </w:t>
            </w:r>
            <w:r w:rsidRPr="00543405">
              <w:rPr>
                <w:i/>
                <w:iCs/>
                <w:sz w:val="18"/>
                <w:szCs w:val="18"/>
              </w:rPr>
              <w:t>exposure</w:t>
            </w:r>
            <w:r w:rsidRPr="00543405">
              <w:rPr>
                <w:sz w:val="18"/>
                <w:szCs w:val="18"/>
              </w:rPr>
              <w:t xml:space="preserve"> i</w:t>
            </w:r>
            <w:r>
              <w:rPr>
                <w:sz w:val="18"/>
                <w:szCs w:val="18"/>
              </w:rPr>
              <w:t xml:space="preserve">n the environment. Exposure is determined by measuring chemical concentrations in the environment or modelling/predicting their occurrence based on chemical properties, environmental </w:t>
            </w:r>
            <w:proofErr w:type="gramStart"/>
            <w:r>
              <w:rPr>
                <w:sz w:val="18"/>
                <w:szCs w:val="18"/>
              </w:rPr>
              <w:t>conditions</w:t>
            </w:r>
            <w:proofErr w:type="gramEnd"/>
            <w:r>
              <w:rPr>
                <w:sz w:val="18"/>
                <w:szCs w:val="18"/>
              </w:rPr>
              <w:t xml:space="preserve"> and usage characteristics. The DGVs published by the </w:t>
            </w:r>
            <w:r w:rsidRPr="00EC2205">
              <w:rPr>
                <w:sz w:val="18"/>
                <w:szCs w:val="18"/>
              </w:rPr>
              <w:t>Australia</w:t>
            </w:r>
            <w:r w:rsidRPr="00EC2205">
              <w:rPr>
                <w:sz w:val="18"/>
                <w:szCs w:val="18"/>
              </w:rPr>
              <w:t>n &amp; New Zealand Guidelines for fresh &amp; Marine Water quality</w:t>
            </w:r>
            <w:r>
              <w:rPr>
                <w:sz w:val="18"/>
                <w:szCs w:val="18"/>
              </w:rPr>
              <w:t xml:space="preserve"> (ANZG) represent the effect, or hazard, component of the risk equation. Thus, the DGVs represent the best estimate of a toxicity hazard that is available at present because they are based on the l</w:t>
            </w:r>
            <w:r>
              <w:rPr>
                <w:sz w:val="18"/>
                <w:szCs w:val="18"/>
              </w:rPr>
              <w:t>atest scientific knowledge on toxic effects and are derived using a standardised method.</w:t>
            </w:r>
          </w:p>
          <w:p w14:paraId="6B67958F" w14:textId="77777777" w:rsidR="00B55FF2" w:rsidRPr="00354AEA" w:rsidRDefault="00A555FD" w:rsidP="00941D43">
            <w:pPr>
              <w:autoSpaceDE w:val="0"/>
              <w:autoSpaceDN w:val="0"/>
              <w:adjustRightInd w:val="0"/>
              <w:spacing w:before="60" w:after="60"/>
              <w:rPr>
                <w:sz w:val="18"/>
                <w:szCs w:val="18"/>
              </w:rPr>
            </w:pPr>
            <w:r>
              <w:rPr>
                <w:sz w:val="18"/>
                <w:szCs w:val="18"/>
              </w:rPr>
              <w:t>S</w:t>
            </w:r>
            <w:r w:rsidRPr="004C02C1">
              <w:rPr>
                <w:sz w:val="18"/>
                <w:szCs w:val="18"/>
              </w:rPr>
              <w:t xml:space="preserve">hould changes to the toxicant </w:t>
            </w:r>
            <w:r>
              <w:rPr>
                <w:sz w:val="18"/>
                <w:szCs w:val="18"/>
              </w:rPr>
              <w:t xml:space="preserve">default guideline </w:t>
            </w:r>
            <w:r w:rsidRPr="004C02C1">
              <w:rPr>
                <w:sz w:val="18"/>
                <w:szCs w:val="18"/>
              </w:rPr>
              <w:t xml:space="preserve">values result in increased numbers of ‘exceedances’ from DGVs, it may not be tied to regulation of </w:t>
            </w:r>
            <w:r>
              <w:rPr>
                <w:sz w:val="18"/>
                <w:szCs w:val="18"/>
              </w:rPr>
              <w:t xml:space="preserve">pesticide </w:t>
            </w:r>
            <w:r w:rsidRPr="004C02C1">
              <w:rPr>
                <w:sz w:val="18"/>
                <w:szCs w:val="18"/>
              </w:rPr>
              <w:t>uses</w:t>
            </w:r>
            <w:r>
              <w:rPr>
                <w:sz w:val="18"/>
                <w:szCs w:val="18"/>
              </w:rPr>
              <w:t xml:space="preserve"> (but</w:t>
            </w:r>
            <w:r>
              <w:rPr>
                <w:sz w:val="18"/>
                <w:szCs w:val="18"/>
              </w:rPr>
              <w:t xml:space="preserve"> may be tied to regulation of receiving water quality)</w:t>
            </w:r>
            <w:r w:rsidRPr="004C02C1">
              <w:rPr>
                <w:sz w:val="18"/>
                <w:szCs w:val="18"/>
              </w:rPr>
              <w:t xml:space="preserve"> and does not necessarily mean that adverse effects are occurring. </w:t>
            </w:r>
            <w:r>
              <w:rPr>
                <w:sz w:val="18"/>
                <w:szCs w:val="18"/>
              </w:rPr>
              <w:t>As emphasised in the ANZG Guidelines, s</w:t>
            </w:r>
            <w:r w:rsidRPr="004C02C1">
              <w:rPr>
                <w:sz w:val="18"/>
                <w:szCs w:val="18"/>
              </w:rPr>
              <w:t xml:space="preserve">uch exceedances </w:t>
            </w:r>
            <w:r>
              <w:rPr>
                <w:sz w:val="18"/>
                <w:szCs w:val="18"/>
              </w:rPr>
              <w:t>need to be considered in the context of other lines of evidence (</w:t>
            </w:r>
            <w:proofErr w:type="gramStart"/>
            <w:r>
              <w:rPr>
                <w:sz w:val="18"/>
                <w:szCs w:val="18"/>
              </w:rPr>
              <w:t>e.g.</w:t>
            </w:r>
            <w:proofErr w:type="gramEnd"/>
            <w:r>
              <w:rPr>
                <w:sz w:val="18"/>
                <w:szCs w:val="18"/>
              </w:rPr>
              <w:t xml:space="preserve"> ecosystem </w:t>
            </w:r>
            <w:r>
              <w:rPr>
                <w:sz w:val="18"/>
                <w:szCs w:val="18"/>
              </w:rPr>
              <w:t>receptor lines of evidence) and may even trigger further monitoring or research to better understand impacts</w:t>
            </w:r>
            <w:r w:rsidRPr="004C02C1">
              <w:rPr>
                <w:sz w:val="18"/>
                <w:szCs w:val="18"/>
              </w:rPr>
              <w:t>.</w:t>
            </w:r>
          </w:p>
        </w:tc>
        <w:tc>
          <w:tcPr>
            <w:tcW w:w="1763" w:type="dxa"/>
          </w:tcPr>
          <w:p w14:paraId="6B679590" w14:textId="77777777" w:rsidR="00B55FF2" w:rsidRPr="00C93289" w:rsidRDefault="00A555FD" w:rsidP="00941D43">
            <w:pPr>
              <w:spacing w:before="60" w:after="60"/>
              <w:rPr>
                <w:sz w:val="18"/>
                <w:szCs w:val="18"/>
              </w:rPr>
            </w:pPr>
            <w:r>
              <w:rPr>
                <w:sz w:val="18"/>
                <w:szCs w:val="18"/>
              </w:rPr>
              <w:t>No changes made to technical briefs.</w:t>
            </w:r>
          </w:p>
        </w:tc>
      </w:tr>
      <w:tr w:rsidR="00031182" w14:paraId="6B679599" w14:textId="77777777" w:rsidTr="00941D43">
        <w:tc>
          <w:tcPr>
            <w:tcW w:w="1033" w:type="dxa"/>
          </w:tcPr>
          <w:p w14:paraId="6B679592" w14:textId="77777777" w:rsidR="00B55FF2" w:rsidRPr="00C93289" w:rsidRDefault="00A555FD" w:rsidP="00941D43">
            <w:pPr>
              <w:spacing w:before="60" w:after="60"/>
              <w:rPr>
                <w:sz w:val="18"/>
                <w:szCs w:val="18"/>
              </w:rPr>
            </w:pPr>
            <w:r>
              <w:rPr>
                <w:sz w:val="18"/>
                <w:szCs w:val="18"/>
              </w:rPr>
              <w:t>2</w:t>
            </w:r>
          </w:p>
        </w:tc>
        <w:tc>
          <w:tcPr>
            <w:tcW w:w="4774" w:type="dxa"/>
          </w:tcPr>
          <w:p w14:paraId="6B679593" w14:textId="77777777" w:rsidR="00B55FF2" w:rsidRPr="00D61529" w:rsidRDefault="00A555FD" w:rsidP="00B55FF2">
            <w:pPr>
              <w:pStyle w:val="ListParagraph"/>
              <w:numPr>
                <w:ilvl w:val="0"/>
                <w:numId w:val="11"/>
              </w:numPr>
              <w:tabs>
                <w:tab w:val="left" w:pos="8647"/>
              </w:tabs>
              <w:spacing w:before="60" w:after="60"/>
              <w:ind w:left="317" w:hanging="317"/>
              <w:jc w:val="both"/>
              <w:rPr>
                <w:sz w:val="18"/>
                <w:szCs w:val="18"/>
              </w:rPr>
            </w:pPr>
            <w:r>
              <w:rPr>
                <w:sz w:val="18"/>
                <w:szCs w:val="18"/>
                <w:lang w:val="en-GB"/>
              </w:rPr>
              <w:t xml:space="preserve">We </w:t>
            </w:r>
            <w:r w:rsidRPr="00D61529">
              <w:rPr>
                <w:sz w:val="18"/>
                <w:szCs w:val="18"/>
                <w:lang w:val="en-GB"/>
              </w:rPr>
              <w:t xml:space="preserve">support the amendments to the default value guidelines and support the DGV’s used as </w:t>
            </w:r>
            <w:r w:rsidRPr="00D61529">
              <w:rPr>
                <w:sz w:val="18"/>
                <w:szCs w:val="18"/>
                <w:lang w:val="en-GB"/>
              </w:rPr>
              <w:t>guidelines for fresh and marine water quality but do not support this data setting the foundations for a regulatory framework.</w:t>
            </w:r>
          </w:p>
          <w:p w14:paraId="6B679594" w14:textId="77777777" w:rsidR="00B55FF2" w:rsidRPr="00D61529" w:rsidRDefault="00A555FD" w:rsidP="00B55FF2">
            <w:pPr>
              <w:pStyle w:val="ListParagraph"/>
              <w:numPr>
                <w:ilvl w:val="0"/>
                <w:numId w:val="11"/>
              </w:numPr>
              <w:tabs>
                <w:tab w:val="left" w:pos="8647"/>
              </w:tabs>
              <w:spacing w:before="60" w:after="60"/>
              <w:ind w:left="317" w:hanging="317"/>
              <w:jc w:val="both"/>
              <w:rPr>
                <w:sz w:val="18"/>
                <w:szCs w:val="18"/>
              </w:rPr>
            </w:pPr>
            <w:r w:rsidRPr="00D61529">
              <w:rPr>
                <w:sz w:val="18"/>
                <w:szCs w:val="18"/>
                <w:lang w:val="en-GB"/>
              </w:rPr>
              <w:t>This is due to the varying results from the ecotoxicological data sets in each toxicant under review, and insufficient toxicity e</w:t>
            </w:r>
            <w:r w:rsidRPr="00D61529">
              <w:rPr>
                <w:sz w:val="18"/>
                <w:szCs w:val="18"/>
                <w:lang w:val="en-GB"/>
              </w:rPr>
              <w:t xml:space="preserve">quivalent factors that do not give an absolute </w:t>
            </w:r>
            <w:r w:rsidRPr="00D61529">
              <w:rPr>
                <w:sz w:val="18"/>
                <w:szCs w:val="18"/>
                <w:lang w:val="en-GB"/>
              </w:rPr>
              <w:lastRenderedPageBreak/>
              <w:t>value as outlined in the technical brief for Dioxins in freshwater.</w:t>
            </w:r>
          </w:p>
        </w:tc>
        <w:tc>
          <w:tcPr>
            <w:tcW w:w="6663" w:type="dxa"/>
          </w:tcPr>
          <w:p w14:paraId="6B679595" w14:textId="77777777" w:rsidR="00B55FF2" w:rsidRDefault="00A555FD" w:rsidP="00B55FF2">
            <w:pPr>
              <w:pStyle w:val="ListParagraph"/>
              <w:numPr>
                <w:ilvl w:val="0"/>
                <w:numId w:val="12"/>
              </w:numPr>
              <w:spacing w:before="60" w:after="60"/>
              <w:ind w:left="320" w:hanging="283"/>
              <w:rPr>
                <w:iCs/>
                <w:sz w:val="18"/>
                <w:szCs w:val="18"/>
              </w:rPr>
            </w:pPr>
            <w:r>
              <w:rPr>
                <w:iCs/>
                <w:sz w:val="18"/>
                <w:szCs w:val="18"/>
              </w:rPr>
              <w:lastRenderedPageBreak/>
              <w:t xml:space="preserve">The </w:t>
            </w:r>
            <w:r w:rsidRPr="00D61529">
              <w:rPr>
                <w:iCs/>
                <w:sz w:val="18"/>
                <w:szCs w:val="18"/>
              </w:rPr>
              <w:t xml:space="preserve">ANZG </w:t>
            </w:r>
            <w:r>
              <w:rPr>
                <w:iCs/>
                <w:sz w:val="18"/>
                <w:szCs w:val="18"/>
              </w:rPr>
              <w:t xml:space="preserve">Guidelines </w:t>
            </w:r>
            <w:r w:rsidRPr="00D61529">
              <w:rPr>
                <w:iCs/>
                <w:sz w:val="18"/>
                <w:szCs w:val="18"/>
              </w:rPr>
              <w:t xml:space="preserve">publish DGVs as guidelines only. It is a matter for jurisdictional regulators as to how they implement the DGVs </w:t>
            </w:r>
            <w:r>
              <w:rPr>
                <w:iCs/>
                <w:sz w:val="18"/>
                <w:szCs w:val="18"/>
              </w:rPr>
              <w:t xml:space="preserve">for managing water quality (in accordance with the ANZG Guidelines) </w:t>
            </w:r>
            <w:r w:rsidRPr="00D61529">
              <w:rPr>
                <w:iCs/>
                <w:sz w:val="18"/>
                <w:szCs w:val="18"/>
              </w:rPr>
              <w:t xml:space="preserve">and, therefore, such discussions should be held with relevant </w:t>
            </w:r>
            <w:r>
              <w:rPr>
                <w:iCs/>
                <w:sz w:val="18"/>
                <w:szCs w:val="18"/>
              </w:rPr>
              <w:t>jurisdictional</w:t>
            </w:r>
            <w:r>
              <w:rPr>
                <w:iCs/>
                <w:sz w:val="18"/>
                <w:szCs w:val="18"/>
              </w:rPr>
              <w:t xml:space="preserve"> </w:t>
            </w:r>
            <w:r w:rsidRPr="00D61529">
              <w:rPr>
                <w:iCs/>
                <w:sz w:val="18"/>
                <w:szCs w:val="18"/>
              </w:rPr>
              <w:t xml:space="preserve">regulators. </w:t>
            </w:r>
            <w:r>
              <w:rPr>
                <w:iCs/>
                <w:sz w:val="18"/>
                <w:szCs w:val="18"/>
              </w:rPr>
              <w:t xml:space="preserve">However, DGVs are not intended to replace or supersede </w:t>
            </w:r>
            <w:r w:rsidRPr="004C02C1">
              <w:rPr>
                <w:iCs/>
                <w:sz w:val="18"/>
                <w:szCs w:val="18"/>
              </w:rPr>
              <w:t>the regulatory acceptable level</w:t>
            </w:r>
            <w:r>
              <w:rPr>
                <w:iCs/>
                <w:sz w:val="18"/>
                <w:szCs w:val="18"/>
              </w:rPr>
              <w:t>s that are derived as part of the formal regulatory framework for agricultural and veterinary chemicals (AgVet chemicals) within Australia. Thus, t</w:t>
            </w:r>
            <w:r w:rsidRPr="004C02C1">
              <w:rPr>
                <w:iCs/>
                <w:sz w:val="18"/>
                <w:szCs w:val="18"/>
              </w:rPr>
              <w:t>he purpose</w:t>
            </w:r>
            <w:r w:rsidRPr="004C02C1">
              <w:rPr>
                <w:iCs/>
                <w:sz w:val="18"/>
                <w:szCs w:val="18"/>
              </w:rPr>
              <w:t xml:space="preserve"> of a regulatory acceptable level and DGVs are different.</w:t>
            </w:r>
          </w:p>
          <w:p w14:paraId="6B679596" w14:textId="77777777" w:rsidR="00B55FF2" w:rsidRDefault="00A555FD" w:rsidP="00B55FF2">
            <w:pPr>
              <w:pStyle w:val="ListParagraph"/>
              <w:numPr>
                <w:ilvl w:val="0"/>
                <w:numId w:val="12"/>
              </w:numPr>
              <w:spacing w:before="60" w:after="60"/>
              <w:ind w:left="320" w:hanging="283"/>
              <w:rPr>
                <w:iCs/>
                <w:sz w:val="18"/>
                <w:szCs w:val="18"/>
              </w:rPr>
            </w:pPr>
            <w:r>
              <w:rPr>
                <w:iCs/>
                <w:sz w:val="18"/>
                <w:szCs w:val="18"/>
              </w:rPr>
              <w:lastRenderedPageBreak/>
              <w:t xml:space="preserve">It is not possible to collate and use a standardised set of ecotoxicological data for all toxicants. The DGV derivation method (Warne et al. 2018) provides a consistent method for ensuring the best </w:t>
            </w:r>
            <w:r>
              <w:rPr>
                <w:iCs/>
                <w:sz w:val="18"/>
                <w:szCs w:val="18"/>
              </w:rPr>
              <w:t>available data and information are used to inform DGVs. However, datasets of different size and quality will invariably occur for different toxicants. In recognition of this, the derivation method includes a DGV ‘reliability’ classification. This reliabili</w:t>
            </w:r>
            <w:r>
              <w:rPr>
                <w:iCs/>
                <w:sz w:val="18"/>
                <w:szCs w:val="18"/>
              </w:rPr>
              <w:t xml:space="preserve">ty classification is linked to </w:t>
            </w:r>
            <w:hyperlink r:id="rId15" w:anchor="application-of-default-guideline-values" w:history="1">
              <w:r w:rsidRPr="00D61529">
                <w:rPr>
                  <w:rStyle w:val="Hyperlink"/>
                  <w:iCs/>
                  <w:sz w:val="18"/>
                  <w:szCs w:val="18"/>
                </w:rPr>
                <w:t>guidance on how the DGVs should be applied</w:t>
              </w:r>
            </w:hyperlink>
            <w:r>
              <w:rPr>
                <w:iCs/>
                <w:sz w:val="18"/>
                <w:szCs w:val="18"/>
              </w:rPr>
              <w:t>. This guidance should help users (</w:t>
            </w:r>
            <w:proofErr w:type="gramStart"/>
            <w:r>
              <w:rPr>
                <w:iCs/>
                <w:sz w:val="18"/>
                <w:szCs w:val="18"/>
              </w:rPr>
              <w:t>i.e.</w:t>
            </w:r>
            <w:proofErr w:type="gramEnd"/>
            <w:r>
              <w:rPr>
                <w:iCs/>
                <w:sz w:val="18"/>
                <w:szCs w:val="18"/>
              </w:rPr>
              <w:t xml:space="preserve"> operators, proponents, regulators, etc.) appropriately apply DGVs.</w:t>
            </w:r>
          </w:p>
          <w:p w14:paraId="6B679597" w14:textId="77777777" w:rsidR="00B55FF2" w:rsidRPr="002F1E2D" w:rsidRDefault="00A555FD" w:rsidP="00941D43">
            <w:pPr>
              <w:spacing w:before="60" w:after="60"/>
              <w:ind w:left="319"/>
              <w:rPr>
                <w:iCs/>
                <w:sz w:val="18"/>
                <w:szCs w:val="18"/>
              </w:rPr>
            </w:pPr>
            <w:r>
              <w:rPr>
                <w:iCs/>
                <w:sz w:val="18"/>
                <w:szCs w:val="18"/>
              </w:rPr>
              <w:t>Regarding the toxicity equivalence factors (TEFs) for dioxins, these are based on the best available data and are the same as the TEFs recom</w:t>
            </w:r>
            <w:r>
              <w:rPr>
                <w:iCs/>
                <w:sz w:val="18"/>
                <w:szCs w:val="18"/>
              </w:rPr>
              <w:t xml:space="preserve">mended by the USEPA and WHO. Most importantly, absolute DGVs are provided for the most toxic of dioxins, </w:t>
            </w:r>
            <w:r w:rsidRPr="009975C0">
              <w:rPr>
                <w:iCs/>
                <w:sz w:val="18"/>
                <w:szCs w:val="18"/>
              </w:rPr>
              <w:t>2,3,7,8-tetrachlorodibenzo-</w:t>
            </w:r>
            <w:r w:rsidRPr="009975C0">
              <w:rPr>
                <w:i/>
                <w:iCs/>
                <w:sz w:val="18"/>
                <w:szCs w:val="18"/>
              </w:rPr>
              <w:t>p</w:t>
            </w:r>
            <w:r w:rsidRPr="009975C0">
              <w:rPr>
                <w:iCs/>
                <w:sz w:val="18"/>
                <w:szCs w:val="18"/>
              </w:rPr>
              <w:t>-dioxin (2,3,7,8-TCDD</w:t>
            </w:r>
            <w:r>
              <w:rPr>
                <w:iCs/>
                <w:sz w:val="18"/>
                <w:szCs w:val="18"/>
              </w:rPr>
              <w:t>). The task of deriving DGVs for all dioxin congeners is well beyond the capacity of the ANZG Guidelin</w:t>
            </w:r>
            <w:r>
              <w:rPr>
                <w:iCs/>
                <w:sz w:val="18"/>
                <w:szCs w:val="18"/>
              </w:rPr>
              <w:t>es.</w:t>
            </w:r>
          </w:p>
        </w:tc>
        <w:tc>
          <w:tcPr>
            <w:tcW w:w="1763" w:type="dxa"/>
          </w:tcPr>
          <w:p w14:paraId="6B679598" w14:textId="77777777" w:rsidR="00B55FF2" w:rsidRPr="00C93289" w:rsidRDefault="00A555FD" w:rsidP="00941D43">
            <w:pPr>
              <w:spacing w:before="60" w:after="60"/>
              <w:rPr>
                <w:sz w:val="18"/>
                <w:szCs w:val="18"/>
              </w:rPr>
            </w:pPr>
            <w:r>
              <w:rPr>
                <w:sz w:val="18"/>
                <w:szCs w:val="18"/>
              </w:rPr>
              <w:lastRenderedPageBreak/>
              <w:t>No changes made to technical briefs.</w:t>
            </w:r>
          </w:p>
        </w:tc>
      </w:tr>
      <w:tr w:rsidR="00031182" w14:paraId="6B6795A2" w14:textId="77777777" w:rsidTr="00941D43">
        <w:tc>
          <w:tcPr>
            <w:tcW w:w="1033" w:type="dxa"/>
          </w:tcPr>
          <w:p w14:paraId="6B67959A" w14:textId="77777777" w:rsidR="00B55FF2" w:rsidRPr="00C93289" w:rsidRDefault="00A555FD" w:rsidP="00941D43">
            <w:pPr>
              <w:spacing w:before="60" w:after="60"/>
              <w:rPr>
                <w:sz w:val="18"/>
                <w:szCs w:val="18"/>
              </w:rPr>
            </w:pPr>
            <w:r>
              <w:rPr>
                <w:sz w:val="18"/>
                <w:szCs w:val="18"/>
              </w:rPr>
              <w:t>3</w:t>
            </w:r>
          </w:p>
        </w:tc>
        <w:tc>
          <w:tcPr>
            <w:tcW w:w="4774" w:type="dxa"/>
          </w:tcPr>
          <w:p w14:paraId="6B67959B" w14:textId="77777777" w:rsidR="00B55FF2" w:rsidRPr="006E276B" w:rsidRDefault="00A555FD"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 xml:space="preserve">Environmental values utilised in the assessments for all the above listed toxicants are derived from modality assessments (Warne et al. 2018). These modality assessments help determine the different </w:t>
            </w:r>
            <w:r w:rsidRPr="006E276B">
              <w:rPr>
                <w:bCs/>
                <w:sz w:val="18"/>
                <w:szCs w:val="18"/>
                <w:lang w:val="en-GB"/>
              </w:rPr>
              <w:t>sensitivities amongst diverse organisms to a chemical, which then helps to determine what statistical variants are more representative of the whole data set to inform a general guideline when there is no specific guideline value applied to the chemical.</w:t>
            </w:r>
          </w:p>
          <w:p w14:paraId="6B67959C" w14:textId="77777777" w:rsidR="00B55FF2" w:rsidRPr="006E276B" w:rsidRDefault="00A555FD" w:rsidP="00B55FF2">
            <w:pPr>
              <w:pStyle w:val="ListParagraph"/>
              <w:numPr>
                <w:ilvl w:val="0"/>
                <w:numId w:val="13"/>
              </w:numPr>
              <w:tabs>
                <w:tab w:val="left" w:pos="8647"/>
              </w:tabs>
              <w:spacing w:before="60" w:after="60"/>
              <w:ind w:left="318" w:hanging="318"/>
              <w:jc w:val="both"/>
              <w:rPr>
                <w:bCs/>
                <w:sz w:val="18"/>
                <w:szCs w:val="18"/>
                <w:lang w:val="en-GB"/>
              </w:rPr>
            </w:pPr>
            <w:r w:rsidRPr="006E276B">
              <w:rPr>
                <w:bCs/>
                <w:sz w:val="18"/>
                <w:szCs w:val="18"/>
                <w:lang w:val="en-GB"/>
              </w:rPr>
              <w:t>Wa</w:t>
            </w:r>
            <w:r w:rsidRPr="006E276B">
              <w:rPr>
                <w:bCs/>
                <w:sz w:val="18"/>
                <w:szCs w:val="18"/>
                <w:lang w:val="en-GB"/>
              </w:rPr>
              <w:t>ter quality guidelines are also recognised as a trigger to assess whether the water is fit for human consumption and help provide an integrated approach to the management of water quality from land use impacts.</w:t>
            </w:r>
          </w:p>
          <w:p w14:paraId="6B67959D" w14:textId="77777777" w:rsidR="00B55FF2" w:rsidRPr="006E276B" w:rsidRDefault="00A555FD" w:rsidP="00B55FF2">
            <w:pPr>
              <w:pStyle w:val="ListParagraph"/>
              <w:numPr>
                <w:ilvl w:val="0"/>
                <w:numId w:val="13"/>
              </w:numPr>
              <w:tabs>
                <w:tab w:val="left" w:pos="8647"/>
              </w:tabs>
              <w:spacing w:before="60" w:after="60"/>
              <w:ind w:left="318" w:hanging="318"/>
              <w:jc w:val="both"/>
              <w:rPr>
                <w:bCs/>
                <w:sz w:val="18"/>
                <w:szCs w:val="18"/>
              </w:rPr>
            </w:pPr>
            <w:r w:rsidRPr="006E276B">
              <w:rPr>
                <w:bCs/>
                <w:sz w:val="18"/>
                <w:szCs w:val="18"/>
                <w:lang w:val="en-GB"/>
              </w:rPr>
              <w:t>Impacts to soils and waterways, resulting fro</w:t>
            </w:r>
            <w:r w:rsidRPr="006E276B">
              <w:rPr>
                <w:bCs/>
                <w:sz w:val="18"/>
                <w:szCs w:val="18"/>
                <w:lang w:val="en-GB"/>
              </w:rPr>
              <w:t>m pesticides can vary, and it is vital to acknowledge that each toxicant has different degradation half-lives that are impacted by their ability to adsorb to sediments, become mobile through the soil, become soluble in water, or reduce the toxicity and hal</w:t>
            </w:r>
            <w:r w:rsidRPr="006E276B">
              <w:rPr>
                <w:bCs/>
                <w:sz w:val="18"/>
                <w:szCs w:val="18"/>
                <w:lang w:val="en-GB"/>
              </w:rPr>
              <w:t>f-life through changes in climate.</w:t>
            </w:r>
          </w:p>
        </w:tc>
        <w:tc>
          <w:tcPr>
            <w:tcW w:w="6663" w:type="dxa"/>
          </w:tcPr>
          <w:p w14:paraId="6B67959E" w14:textId="77777777" w:rsidR="00B55FF2" w:rsidRPr="00F0610E" w:rsidRDefault="00A555FD" w:rsidP="00B55FF2">
            <w:pPr>
              <w:pStyle w:val="ListParagraph"/>
              <w:numPr>
                <w:ilvl w:val="0"/>
                <w:numId w:val="14"/>
              </w:numPr>
              <w:spacing w:before="60" w:after="60"/>
              <w:ind w:left="319" w:hanging="284"/>
              <w:rPr>
                <w:iCs/>
                <w:sz w:val="18"/>
                <w:szCs w:val="18"/>
              </w:rPr>
            </w:pPr>
            <w:r w:rsidRPr="00F0610E">
              <w:rPr>
                <w:iCs/>
                <w:sz w:val="18"/>
                <w:szCs w:val="18"/>
              </w:rPr>
              <w:t xml:space="preserve">The toxicity data are not </w:t>
            </w:r>
            <w:r w:rsidRPr="00F0610E">
              <w:rPr>
                <w:bCs/>
                <w:sz w:val="18"/>
                <w:szCs w:val="18"/>
                <w:lang w:val="en-GB"/>
              </w:rPr>
              <w:t xml:space="preserve">derived from </w:t>
            </w:r>
            <w:r>
              <w:rPr>
                <w:bCs/>
                <w:sz w:val="18"/>
                <w:szCs w:val="18"/>
                <w:lang w:val="en-GB"/>
              </w:rPr>
              <w:t xml:space="preserve">the </w:t>
            </w:r>
            <w:r w:rsidRPr="00F0610E">
              <w:rPr>
                <w:bCs/>
                <w:sz w:val="18"/>
                <w:szCs w:val="18"/>
                <w:lang w:val="en-GB"/>
              </w:rPr>
              <w:t xml:space="preserve">modality assessments. </w:t>
            </w:r>
            <w:r w:rsidRPr="00F0610E">
              <w:rPr>
                <w:iCs/>
                <w:sz w:val="18"/>
                <w:szCs w:val="18"/>
              </w:rPr>
              <w:t xml:space="preserve">Modality assessments are undertaken on the </w:t>
            </w:r>
            <w:r>
              <w:rPr>
                <w:iCs/>
                <w:sz w:val="18"/>
                <w:szCs w:val="18"/>
              </w:rPr>
              <w:t xml:space="preserve">collated </w:t>
            </w:r>
            <w:r w:rsidRPr="00F0610E">
              <w:rPr>
                <w:iCs/>
                <w:sz w:val="18"/>
                <w:szCs w:val="18"/>
              </w:rPr>
              <w:t xml:space="preserve">toxicity datasets to check whether the data can </w:t>
            </w:r>
            <w:proofErr w:type="gramStart"/>
            <w:r w:rsidRPr="00F0610E">
              <w:rPr>
                <w:iCs/>
                <w:sz w:val="18"/>
                <w:szCs w:val="18"/>
              </w:rPr>
              <w:t>be considered to be</w:t>
            </w:r>
            <w:proofErr w:type="gramEnd"/>
            <w:r w:rsidRPr="00F0610E">
              <w:rPr>
                <w:iCs/>
                <w:sz w:val="18"/>
                <w:szCs w:val="18"/>
              </w:rPr>
              <w:t xml:space="preserve"> part of a single or more than one </w:t>
            </w:r>
            <w:r w:rsidRPr="00F0610E">
              <w:rPr>
                <w:iCs/>
                <w:sz w:val="18"/>
                <w:szCs w:val="18"/>
              </w:rPr>
              <w:t xml:space="preserve">population of values. This is because the species sensitivity distribution (SSD) approach used to derive the DGVs requires that the dataset be from a single population of values. For all toxicants, the final dataset that has passed the multiple checks and </w:t>
            </w:r>
            <w:r w:rsidRPr="00F0610E">
              <w:rPr>
                <w:iCs/>
                <w:sz w:val="18"/>
                <w:szCs w:val="18"/>
              </w:rPr>
              <w:t>assessments, including quality assessment and modality assessment, is then used to derive specific DGVs.</w:t>
            </w:r>
          </w:p>
          <w:p w14:paraId="6B67959F" w14:textId="77777777" w:rsidR="00B55FF2" w:rsidRPr="00F0610E" w:rsidRDefault="00A555FD" w:rsidP="00B55FF2">
            <w:pPr>
              <w:pStyle w:val="ListParagraph"/>
              <w:numPr>
                <w:ilvl w:val="0"/>
                <w:numId w:val="14"/>
              </w:numPr>
              <w:spacing w:before="60" w:after="60"/>
              <w:ind w:left="319" w:hanging="284"/>
              <w:rPr>
                <w:iCs/>
                <w:sz w:val="18"/>
                <w:szCs w:val="18"/>
              </w:rPr>
            </w:pPr>
            <w:r w:rsidRPr="00F0610E">
              <w:rPr>
                <w:iCs/>
                <w:sz w:val="18"/>
                <w:szCs w:val="18"/>
              </w:rPr>
              <w:t xml:space="preserve">While water quality guideline values for drinking water </w:t>
            </w:r>
            <w:r>
              <w:rPr>
                <w:iCs/>
                <w:sz w:val="18"/>
                <w:szCs w:val="18"/>
              </w:rPr>
              <w:t xml:space="preserve">do </w:t>
            </w:r>
            <w:r w:rsidRPr="00F0610E">
              <w:rPr>
                <w:iCs/>
                <w:sz w:val="18"/>
                <w:szCs w:val="18"/>
              </w:rPr>
              <w:t>exist (under the NHMRC 2016 Australian Drinking Water Guidelines), the ANZG DGVs are specifi</w:t>
            </w:r>
            <w:r w:rsidRPr="00F0610E">
              <w:rPr>
                <w:iCs/>
                <w:sz w:val="18"/>
                <w:szCs w:val="18"/>
              </w:rPr>
              <w:t>cally related to aquatic ecosystem protection.</w:t>
            </w:r>
          </w:p>
          <w:p w14:paraId="6B6795A0" w14:textId="77777777" w:rsidR="00B55FF2" w:rsidRPr="00682D15" w:rsidRDefault="00A555FD" w:rsidP="00B55FF2">
            <w:pPr>
              <w:pStyle w:val="ListParagraph"/>
              <w:numPr>
                <w:ilvl w:val="0"/>
                <w:numId w:val="14"/>
              </w:numPr>
              <w:spacing w:before="60" w:after="60"/>
              <w:ind w:left="319" w:hanging="284"/>
              <w:rPr>
                <w:iCs/>
                <w:sz w:val="18"/>
                <w:szCs w:val="18"/>
              </w:rPr>
            </w:pPr>
            <w:r w:rsidRPr="00F0610E">
              <w:rPr>
                <w:iCs/>
                <w:sz w:val="18"/>
                <w:szCs w:val="18"/>
              </w:rPr>
              <w:t xml:space="preserve">Toxicant DGV technical briefs typically include information on factors that can affect the </w:t>
            </w:r>
            <w:r>
              <w:rPr>
                <w:iCs/>
                <w:sz w:val="18"/>
                <w:szCs w:val="18"/>
              </w:rPr>
              <w:t>environmental fate</w:t>
            </w:r>
            <w:r w:rsidRPr="00F0610E">
              <w:rPr>
                <w:iCs/>
                <w:sz w:val="18"/>
                <w:szCs w:val="18"/>
              </w:rPr>
              <w:t xml:space="preserve"> and toxicity of the toxicant in water, where this information exists. Degradation pathways and half</w:t>
            </w:r>
            <w:r w:rsidRPr="00F0610E">
              <w:rPr>
                <w:iCs/>
                <w:sz w:val="18"/>
                <w:szCs w:val="18"/>
              </w:rPr>
              <w:t>-lives as well as other important physical and chemical properties are described. These give an indication of how the toxicant behaves in the environment</w:t>
            </w:r>
            <w:r>
              <w:rPr>
                <w:iCs/>
                <w:sz w:val="18"/>
                <w:szCs w:val="18"/>
              </w:rPr>
              <w:t xml:space="preserve"> and where it is more likely to partition</w:t>
            </w:r>
            <w:r w:rsidRPr="00F0610E">
              <w:rPr>
                <w:iCs/>
                <w:sz w:val="18"/>
                <w:szCs w:val="18"/>
              </w:rPr>
              <w:t>. Ultimately, measurement of environmental concentrations prov</w:t>
            </w:r>
            <w:r w:rsidRPr="00F0610E">
              <w:rPr>
                <w:iCs/>
                <w:sz w:val="18"/>
                <w:szCs w:val="18"/>
              </w:rPr>
              <w:t>ides the best estimate of exposure of the toxicant in the environment, and it is the measured (not predicted) environmental concentrations that should be compared with DGVs. Information on factors that can affect toxicity is also included where this inform</w:t>
            </w:r>
            <w:r w:rsidRPr="00F0610E">
              <w:rPr>
                <w:iCs/>
                <w:sz w:val="18"/>
                <w:szCs w:val="18"/>
              </w:rPr>
              <w:t xml:space="preserve">ation is available. Unfortunately, only rarely is this information extensive enough to be able to factor them into the DGVs. This is most often possible for metals </w:t>
            </w:r>
            <w:r>
              <w:rPr>
                <w:iCs/>
                <w:sz w:val="18"/>
                <w:szCs w:val="18"/>
              </w:rPr>
              <w:t>(</w:t>
            </w:r>
            <w:proofErr w:type="gramStart"/>
            <w:r>
              <w:rPr>
                <w:iCs/>
                <w:sz w:val="18"/>
                <w:szCs w:val="18"/>
              </w:rPr>
              <w:t>e.g.</w:t>
            </w:r>
            <w:proofErr w:type="gramEnd"/>
            <w:r>
              <w:rPr>
                <w:iCs/>
                <w:sz w:val="18"/>
                <w:szCs w:val="18"/>
              </w:rPr>
              <w:t xml:space="preserve"> corrections for pH, hardness, etc.) </w:t>
            </w:r>
            <w:r w:rsidRPr="00F0610E">
              <w:rPr>
                <w:iCs/>
                <w:sz w:val="18"/>
                <w:szCs w:val="18"/>
              </w:rPr>
              <w:t>rather than pesticides.</w:t>
            </w:r>
            <w:r>
              <w:rPr>
                <w:iCs/>
                <w:sz w:val="18"/>
                <w:szCs w:val="18"/>
              </w:rPr>
              <w:t xml:space="preserve"> Where </w:t>
            </w:r>
            <w:r>
              <w:rPr>
                <w:iCs/>
                <w:sz w:val="18"/>
                <w:szCs w:val="18"/>
              </w:rPr>
              <w:lastRenderedPageBreak/>
              <w:t>environmental condit</w:t>
            </w:r>
            <w:r>
              <w:rPr>
                <w:iCs/>
                <w:sz w:val="18"/>
                <w:szCs w:val="18"/>
              </w:rPr>
              <w:t>ions are such that it is thought that the DGVs may not be appropriate, then ANZG (2018) recommends that site-specific guideline values be derived.</w:t>
            </w:r>
          </w:p>
        </w:tc>
        <w:tc>
          <w:tcPr>
            <w:tcW w:w="1763" w:type="dxa"/>
          </w:tcPr>
          <w:p w14:paraId="6B6795A1" w14:textId="77777777" w:rsidR="00B55FF2" w:rsidRPr="00C93289" w:rsidRDefault="00A555FD" w:rsidP="00941D43">
            <w:pPr>
              <w:spacing w:before="60" w:after="60"/>
              <w:rPr>
                <w:sz w:val="18"/>
                <w:szCs w:val="18"/>
              </w:rPr>
            </w:pPr>
            <w:r>
              <w:rPr>
                <w:sz w:val="18"/>
                <w:szCs w:val="18"/>
              </w:rPr>
              <w:lastRenderedPageBreak/>
              <w:t>No changes made to technical brief</w:t>
            </w:r>
            <w:r w:rsidR="00930B81">
              <w:rPr>
                <w:sz w:val="18"/>
                <w:szCs w:val="18"/>
              </w:rPr>
              <w:t>s</w:t>
            </w:r>
            <w:r>
              <w:rPr>
                <w:sz w:val="18"/>
                <w:szCs w:val="18"/>
              </w:rPr>
              <w:t>.</w:t>
            </w:r>
          </w:p>
        </w:tc>
      </w:tr>
      <w:tr w:rsidR="00031182" w14:paraId="6B6795AB" w14:textId="77777777" w:rsidTr="00941D43">
        <w:tc>
          <w:tcPr>
            <w:tcW w:w="1033" w:type="dxa"/>
          </w:tcPr>
          <w:p w14:paraId="6B6795A3" w14:textId="77777777" w:rsidR="00B55FF2" w:rsidRPr="00C93289" w:rsidRDefault="00A555FD" w:rsidP="00941D43">
            <w:pPr>
              <w:spacing w:before="60" w:after="60"/>
              <w:rPr>
                <w:sz w:val="18"/>
                <w:szCs w:val="18"/>
              </w:rPr>
            </w:pPr>
            <w:r>
              <w:rPr>
                <w:sz w:val="18"/>
                <w:szCs w:val="18"/>
              </w:rPr>
              <w:t>4</w:t>
            </w:r>
          </w:p>
        </w:tc>
        <w:tc>
          <w:tcPr>
            <w:tcW w:w="4774" w:type="dxa"/>
          </w:tcPr>
          <w:p w14:paraId="6B6795A4" w14:textId="77777777" w:rsidR="00B55FF2" w:rsidRPr="00682D15" w:rsidRDefault="00A555FD" w:rsidP="00B55FF2">
            <w:pPr>
              <w:pStyle w:val="ListParagraph"/>
              <w:numPr>
                <w:ilvl w:val="0"/>
                <w:numId w:val="15"/>
              </w:numPr>
              <w:spacing w:before="60" w:after="60"/>
              <w:ind w:left="317" w:hanging="317"/>
              <w:rPr>
                <w:bCs/>
                <w:sz w:val="18"/>
                <w:szCs w:val="18"/>
                <w:lang w:val="en-GB"/>
              </w:rPr>
            </w:pPr>
            <w:r>
              <w:rPr>
                <w:bCs/>
                <w:sz w:val="18"/>
                <w:szCs w:val="18"/>
                <w:lang w:val="en-GB"/>
              </w:rPr>
              <w:t>We</w:t>
            </w:r>
            <w:r w:rsidRPr="00682D15">
              <w:rPr>
                <w:bCs/>
                <w:sz w:val="18"/>
                <w:szCs w:val="18"/>
                <w:lang w:val="en-GB"/>
              </w:rPr>
              <w:t xml:space="preserve"> support the current DGV proposed for mancozeb due to the environmental impacts that it could cause to different agricultural commodity groups but cannot support changes to the proposed DGV without meaningful consultation with a wider segment of stakeholde</w:t>
            </w:r>
            <w:r w:rsidRPr="00682D15">
              <w:rPr>
                <w:bCs/>
                <w:sz w:val="18"/>
                <w:szCs w:val="18"/>
                <w:lang w:val="en-GB"/>
              </w:rPr>
              <w:t xml:space="preserve">rs from the food, </w:t>
            </w:r>
            <w:proofErr w:type="gramStart"/>
            <w:r w:rsidRPr="00682D15">
              <w:rPr>
                <w:bCs/>
                <w:sz w:val="18"/>
                <w:szCs w:val="18"/>
                <w:lang w:val="en-GB"/>
              </w:rPr>
              <w:t>fibre</w:t>
            </w:r>
            <w:proofErr w:type="gramEnd"/>
            <w:r w:rsidRPr="00682D15">
              <w:rPr>
                <w:bCs/>
                <w:sz w:val="18"/>
                <w:szCs w:val="18"/>
                <w:lang w:val="en-GB"/>
              </w:rPr>
              <w:t xml:space="preserve"> and foliage sectors.</w:t>
            </w:r>
          </w:p>
          <w:p w14:paraId="6B6795A5" w14:textId="77777777" w:rsidR="00B55FF2" w:rsidRPr="00682D15" w:rsidRDefault="00A555FD" w:rsidP="00B55FF2">
            <w:pPr>
              <w:pStyle w:val="ListParagraph"/>
              <w:numPr>
                <w:ilvl w:val="0"/>
                <w:numId w:val="15"/>
              </w:numPr>
              <w:spacing w:before="60" w:after="60"/>
              <w:ind w:left="317" w:hanging="317"/>
              <w:rPr>
                <w:bCs/>
                <w:sz w:val="18"/>
                <w:szCs w:val="18"/>
                <w:lang w:val="en-GB"/>
              </w:rPr>
            </w:pPr>
            <w:r w:rsidRPr="00682D15">
              <w:rPr>
                <w:bCs/>
                <w:sz w:val="18"/>
                <w:szCs w:val="18"/>
                <w:lang w:val="en-GB"/>
              </w:rPr>
              <w:t>It should also be recognised that there are inconsistencies in the final assessments of the different toxicants outlined in this review, including fipronil, and mancozeb which listed varying ecotoxicological eff</w:t>
            </w:r>
            <w:r w:rsidRPr="00682D15">
              <w:rPr>
                <w:bCs/>
                <w:sz w:val="18"/>
                <w:szCs w:val="18"/>
                <w:lang w:val="en-GB"/>
              </w:rPr>
              <w:t>ects on limited taxonomic groups, but larger species subsets.</w:t>
            </w:r>
          </w:p>
          <w:p w14:paraId="6B6795A6" w14:textId="77777777" w:rsidR="00B55FF2" w:rsidRPr="00682D15" w:rsidRDefault="00A555FD" w:rsidP="00B55FF2">
            <w:pPr>
              <w:pStyle w:val="ListParagraph"/>
              <w:numPr>
                <w:ilvl w:val="0"/>
                <w:numId w:val="15"/>
              </w:numPr>
              <w:spacing w:before="60" w:after="60"/>
              <w:ind w:left="317" w:hanging="317"/>
              <w:rPr>
                <w:bCs/>
                <w:sz w:val="18"/>
                <w:szCs w:val="18"/>
              </w:rPr>
            </w:pPr>
            <w:r w:rsidRPr="00682D15">
              <w:rPr>
                <w:bCs/>
                <w:sz w:val="18"/>
                <w:szCs w:val="18"/>
                <w:lang w:val="en-GB"/>
              </w:rPr>
              <w:t>There are also no allowances made for the proposed changes in climate that will cause variations to the concentration of toxicants identified in various water bodies and bioaccumulation levels i</w:t>
            </w:r>
            <w:r w:rsidRPr="00682D15">
              <w:rPr>
                <w:bCs/>
                <w:sz w:val="18"/>
                <w:szCs w:val="18"/>
                <w:lang w:val="en-GB"/>
              </w:rPr>
              <w:t>n species, or increased dissipation rates of some toxicants from elevated temperatures.</w:t>
            </w:r>
          </w:p>
        </w:tc>
        <w:tc>
          <w:tcPr>
            <w:tcW w:w="6663" w:type="dxa"/>
          </w:tcPr>
          <w:p w14:paraId="6B6795A7" w14:textId="77777777" w:rsidR="00B55FF2" w:rsidRDefault="00A555FD" w:rsidP="00B55FF2">
            <w:pPr>
              <w:pStyle w:val="ListParagraph"/>
              <w:numPr>
                <w:ilvl w:val="0"/>
                <w:numId w:val="16"/>
              </w:numPr>
              <w:spacing w:before="60" w:after="60"/>
              <w:ind w:left="319" w:hanging="284"/>
              <w:rPr>
                <w:iCs/>
                <w:sz w:val="18"/>
                <w:szCs w:val="18"/>
              </w:rPr>
            </w:pPr>
            <w:r>
              <w:rPr>
                <w:iCs/>
                <w:sz w:val="18"/>
                <w:szCs w:val="18"/>
              </w:rPr>
              <w:t>The need for public consultation is important. This is why every toxicant DGV that is drafted undergoes a 3-month public consultation period prior to being finalised an</w:t>
            </w:r>
            <w:r>
              <w:rPr>
                <w:iCs/>
                <w:sz w:val="18"/>
                <w:szCs w:val="18"/>
              </w:rPr>
              <w:t xml:space="preserve">d </w:t>
            </w:r>
            <w:proofErr w:type="gramStart"/>
            <w:r>
              <w:rPr>
                <w:iCs/>
                <w:sz w:val="18"/>
                <w:szCs w:val="18"/>
              </w:rPr>
              <w:t>drafted</w:t>
            </w:r>
            <w:proofErr w:type="gramEnd"/>
          </w:p>
          <w:p w14:paraId="6B6795A8" w14:textId="77777777" w:rsidR="00B55FF2" w:rsidRPr="00D260F6" w:rsidRDefault="00A555FD" w:rsidP="00B55FF2">
            <w:pPr>
              <w:pStyle w:val="ListParagraph"/>
              <w:numPr>
                <w:ilvl w:val="0"/>
                <w:numId w:val="16"/>
              </w:numPr>
              <w:spacing w:before="60" w:after="60"/>
              <w:ind w:left="319" w:hanging="284"/>
              <w:rPr>
                <w:iCs/>
                <w:sz w:val="18"/>
                <w:szCs w:val="18"/>
              </w:rPr>
            </w:pPr>
            <w:r>
              <w:rPr>
                <w:iCs/>
                <w:sz w:val="18"/>
                <w:szCs w:val="18"/>
              </w:rPr>
              <w:t>See response to comment 2(b)</w:t>
            </w:r>
          </w:p>
          <w:p w14:paraId="6B6795A9" w14:textId="77777777" w:rsidR="00B55FF2" w:rsidRPr="00682D15" w:rsidRDefault="00A555FD" w:rsidP="00B55FF2">
            <w:pPr>
              <w:pStyle w:val="ListParagraph"/>
              <w:numPr>
                <w:ilvl w:val="0"/>
                <w:numId w:val="16"/>
              </w:numPr>
              <w:spacing w:before="60" w:after="60"/>
              <w:ind w:left="319" w:hanging="284"/>
              <w:rPr>
                <w:iCs/>
                <w:sz w:val="18"/>
                <w:szCs w:val="18"/>
              </w:rPr>
            </w:pPr>
            <w:r>
              <w:rPr>
                <w:iCs/>
                <w:sz w:val="18"/>
                <w:szCs w:val="18"/>
              </w:rPr>
              <w:t>See response to comment 3(c).</w:t>
            </w:r>
          </w:p>
        </w:tc>
        <w:tc>
          <w:tcPr>
            <w:tcW w:w="1763" w:type="dxa"/>
          </w:tcPr>
          <w:p w14:paraId="6B6795AA" w14:textId="77777777" w:rsidR="00B55FF2" w:rsidRPr="00C93289" w:rsidRDefault="00A555FD"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031182" w14:paraId="6B6795B2" w14:textId="77777777" w:rsidTr="00941D43">
        <w:tc>
          <w:tcPr>
            <w:tcW w:w="1033" w:type="dxa"/>
          </w:tcPr>
          <w:p w14:paraId="6B6795AC" w14:textId="77777777" w:rsidR="00B55FF2" w:rsidRPr="00C93289" w:rsidRDefault="00A555FD" w:rsidP="00941D43">
            <w:pPr>
              <w:spacing w:before="60" w:after="60"/>
              <w:rPr>
                <w:sz w:val="18"/>
                <w:szCs w:val="18"/>
              </w:rPr>
            </w:pPr>
            <w:r>
              <w:rPr>
                <w:sz w:val="18"/>
                <w:szCs w:val="18"/>
              </w:rPr>
              <w:t>5</w:t>
            </w:r>
          </w:p>
        </w:tc>
        <w:tc>
          <w:tcPr>
            <w:tcW w:w="4774" w:type="dxa"/>
          </w:tcPr>
          <w:p w14:paraId="6B6795AD" w14:textId="77777777" w:rsidR="00B55FF2" w:rsidRPr="004F1DC6" w:rsidRDefault="00A555FD" w:rsidP="00941D43">
            <w:pPr>
              <w:spacing w:before="60" w:after="60"/>
              <w:rPr>
                <w:bCs/>
                <w:sz w:val="18"/>
                <w:szCs w:val="18"/>
              </w:rPr>
            </w:pPr>
            <w:r w:rsidRPr="00D260F6">
              <w:rPr>
                <w:bCs/>
                <w:sz w:val="18"/>
                <w:szCs w:val="18"/>
                <w:lang w:val="en-GB"/>
              </w:rPr>
              <w:t>While the current methodology utilised to form the basis for the DGVs is not currently regulated,</w:t>
            </w:r>
            <w:r>
              <w:rPr>
                <w:bCs/>
                <w:sz w:val="18"/>
                <w:szCs w:val="18"/>
                <w:lang w:val="en-GB"/>
              </w:rPr>
              <w:t xml:space="preserve"> </w:t>
            </w:r>
            <w:r w:rsidRPr="00D260F6">
              <w:rPr>
                <w:bCs/>
                <w:sz w:val="18"/>
                <w:szCs w:val="18"/>
                <w:lang w:val="en-GB"/>
              </w:rPr>
              <w:t xml:space="preserve">varying factors used in the </w:t>
            </w:r>
            <w:r w:rsidRPr="00D260F6">
              <w:rPr>
                <w:bCs/>
                <w:sz w:val="18"/>
                <w:szCs w:val="18"/>
                <w:lang w:val="en-GB"/>
              </w:rPr>
              <w:t>calculations could potentially increase the probability that these DGVs are</w:t>
            </w:r>
            <w:r>
              <w:rPr>
                <w:bCs/>
                <w:sz w:val="18"/>
                <w:szCs w:val="18"/>
                <w:lang w:val="en-GB"/>
              </w:rPr>
              <w:t xml:space="preserve"> </w:t>
            </w:r>
            <w:r w:rsidRPr="00D260F6">
              <w:rPr>
                <w:bCs/>
                <w:sz w:val="18"/>
                <w:szCs w:val="18"/>
                <w:lang w:val="en-GB"/>
              </w:rPr>
              <w:t>not at the highest accuracy level, especially for toxicants such as those from the dithiocarbamate group</w:t>
            </w:r>
            <w:r>
              <w:rPr>
                <w:bCs/>
                <w:sz w:val="18"/>
                <w:szCs w:val="18"/>
                <w:lang w:val="en-GB"/>
              </w:rPr>
              <w:t xml:space="preserve"> </w:t>
            </w:r>
            <w:r w:rsidRPr="00D260F6">
              <w:rPr>
                <w:bCs/>
                <w:sz w:val="18"/>
                <w:szCs w:val="18"/>
                <w:lang w:val="en-GB"/>
              </w:rPr>
              <w:t>that do become highly mobile within and environment, but have limited concl</w:t>
            </w:r>
            <w:r w:rsidRPr="00D260F6">
              <w:rPr>
                <w:bCs/>
                <w:sz w:val="18"/>
                <w:szCs w:val="18"/>
                <w:lang w:val="en-GB"/>
              </w:rPr>
              <w:t>usive studies to confirm</w:t>
            </w:r>
            <w:r>
              <w:rPr>
                <w:bCs/>
                <w:sz w:val="18"/>
                <w:szCs w:val="18"/>
                <w:lang w:val="en-GB"/>
              </w:rPr>
              <w:t xml:space="preserve"> </w:t>
            </w:r>
            <w:r w:rsidRPr="00D260F6">
              <w:rPr>
                <w:bCs/>
                <w:sz w:val="18"/>
                <w:szCs w:val="18"/>
                <w:lang w:val="en-GB"/>
              </w:rPr>
              <w:t>the concentration in aquatic environments, due to the mobility within soils, and difficulties to extract or</w:t>
            </w:r>
            <w:r>
              <w:rPr>
                <w:bCs/>
                <w:sz w:val="18"/>
                <w:szCs w:val="18"/>
                <w:lang w:val="en-GB"/>
              </w:rPr>
              <w:t xml:space="preserve"> </w:t>
            </w:r>
            <w:r w:rsidRPr="00D260F6">
              <w:rPr>
                <w:bCs/>
                <w:sz w:val="18"/>
                <w:szCs w:val="18"/>
                <w:lang w:val="en-GB"/>
              </w:rPr>
              <w:t>analyse as a singular toxicant</w:t>
            </w:r>
            <w:r>
              <w:rPr>
                <w:bCs/>
                <w:sz w:val="18"/>
                <w:szCs w:val="18"/>
                <w:lang w:val="en-GB"/>
              </w:rPr>
              <w:t xml:space="preserve"> (e.g. Draft Mancozeb DGVs technical brief)</w:t>
            </w:r>
            <w:r w:rsidRPr="00D260F6">
              <w:rPr>
                <w:bCs/>
                <w:sz w:val="18"/>
                <w:szCs w:val="18"/>
                <w:lang w:val="en-GB"/>
              </w:rPr>
              <w:t>.</w:t>
            </w:r>
          </w:p>
        </w:tc>
        <w:tc>
          <w:tcPr>
            <w:tcW w:w="6663" w:type="dxa"/>
          </w:tcPr>
          <w:p w14:paraId="6B6795AE" w14:textId="77777777" w:rsidR="00B55FF2" w:rsidRDefault="00A555FD" w:rsidP="00941D43">
            <w:pPr>
              <w:spacing w:before="60" w:after="60"/>
              <w:rPr>
                <w:iCs/>
                <w:sz w:val="18"/>
                <w:szCs w:val="18"/>
              </w:rPr>
            </w:pPr>
            <w:r>
              <w:rPr>
                <w:iCs/>
                <w:sz w:val="18"/>
                <w:szCs w:val="18"/>
              </w:rPr>
              <w:t>It is unclear which parts of the derivation meth</w:t>
            </w:r>
            <w:r>
              <w:rPr>
                <w:iCs/>
                <w:sz w:val="18"/>
                <w:szCs w:val="18"/>
              </w:rPr>
              <w:t>od are being referred to. However, as noted earlier, the DGV derivation method (Warne et al. 2018) provides a consistent method for ensuring the best available data and information are used to inform DGVs. Where professional judgements are required, the ba</w:t>
            </w:r>
            <w:r>
              <w:rPr>
                <w:iCs/>
                <w:sz w:val="18"/>
                <w:szCs w:val="18"/>
              </w:rPr>
              <w:t>sis for such decision making is clearly laid out.</w:t>
            </w:r>
          </w:p>
          <w:p w14:paraId="6B6795AF" w14:textId="77777777" w:rsidR="00B55FF2" w:rsidRPr="0009332A" w:rsidRDefault="00A555FD" w:rsidP="00941D43">
            <w:pPr>
              <w:rPr>
                <w:bCs/>
                <w:sz w:val="18"/>
                <w:szCs w:val="18"/>
              </w:rPr>
            </w:pPr>
            <w:r>
              <w:rPr>
                <w:iCs/>
                <w:sz w:val="18"/>
                <w:szCs w:val="18"/>
              </w:rPr>
              <w:t xml:space="preserve">The challenges of measuring specific </w:t>
            </w:r>
            <w:r w:rsidRPr="00D260F6">
              <w:rPr>
                <w:bCs/>
                <w:sz w:val="18"/>
                <w:szCs w:val="18"/>
                <w:lang w:val="en-GB"/>
              </w:rPr>
              <w:t>dithiocarbamate</w:t>
            </w:r>
            <w:r>
              <w:rPr>
                <w:bCs/>
                <w:sz w:val="18"/>
                <w:szCs w:val="18"/>
                <w:lang w:val="en-GB"/>
              </w:rPr>
              <w:t xml:space="preserve"> or EBDC fungicides (</w:t>
            </w:r>
            <w:proofErr w:type="gramStart"/>
            <w:r>
              <w:rPr>
                <w:bCs/>
                <w:sz w:val="18"/>
                <w:szCs w:val="18"/>
                <w:lang w:val="en-GB"/>
              </w:rPr>
              <w:t>i.e.</w:t>
            </w:r>
            <w:proofErr w:type="gramEnd"/>
            <w:r>
              <w:rPr>
                <w:bCs/>
                <w:sz w:val="18"/>
                <w:szCs w:val="18"/>
                <w:lang w:val="en-GB"/>
              </w:rPr>
              <w:t xml:space="preserve"> </w:t>
            </w:r>
            <w:r w:rsidRPr="004C02C1">
              <w:rPr>
                <w:bCs/>
                <w:sz w:val="18"/>
                <w:szCs w:val="18"/>
              </w:rPr>
              <w:t>that current routine chemical analyses cannot discriminate between the various dithiocarbamates or EBDC fungicides</w:t>
            </w:r>
            <w:r>
              <w:rPr>
                <w:bCs/>
                <w:sz w:val="18"/>
                <w:szCs w:val="18"/>
                <w:lang w:val="en-GB"/>
              </w:rPr>
              <w:t>) is acknowled</w:t>
            </w:r>
            <w:r>
              <w:rPr>
                <w:bCs/>
                <w:sz w:val="18"/>
                <w:szCs w:val="18"/>
                <w:lang w:val="en-GB"/>
              </w:rPr>
              <w:t xml:space="preserve">ged in the mancozeb DGV technical brief, and an approach to deal with this is proposed. The uncertainties are acknowledged, and it is clearly stated that the mancozeb DGVs should </w:t>
            </w:r>
            <w:r w:rsidRPr="00D2463D">
              <w:rPr>
                <w:bCs/>
                <w:sz w:val="18"/>
                <w:szCs w:val="18"/>
              </w:rPr>
              <w:t>be used in conjunction with other lines of evidence</w:t>
            </w:r>
            <w:r>
              <w:rPr>
                <w:bCs/>
                <w:sz w:val="18"/>
                <w:szCs w:val="18"/>
              </w:rPr>
              <w:t>. Additional cautionary te</w:t>
            </w:r>
            <w:r>
              <w:rPr>
                <w:bCs/>
                <w:sz w:val="18"/>
                <w:szCs w:val="18"/>
              </w:rPr>
              <w:t xml:space="preserve">xt to this effect has been added to Section 4.4 (Reliability classification) of the mancozeb </w:t>
            </w:r>
            <w:r>
              <w:rPr>
                <w:bCs/>
                <w:sz w:val="18"/>
                <w:szCs w:val="18"/>
                <w:lang w:val="en-GB"/>
              </w:rPr>
              <w:t>DGVs technical brief</w:t>
            </w:r>
            <w:r>
              <w:rPr>
                <w:bCs/>
                <w:sz w:val="18"/>
                <w:szCs w:val="18"/>
              </w:rPr>
              <w:t>.</w:t>
            </w:r>
          </w:p>
        </w:tc>
        <w:tc>
          <w:tcPr>
            <w:tcW w:w="1763" w:type="dxa"/>
          </w:tcPr>
          <w:p w14:paraId="6B6795B0" w14:textId="77777777" w:rsidR="00B55FF2" w:rsidRDefault="00A555FD" w:rsidP="00941D43">
            <w:pPr>
              <w:spacing w:before="60" w:after="60"/>
              <w:rPr>
                <w:bCs/>
                <w:sz w:val="18"/>
                <w:szCs w:val="18"/>
              </w:rPr>
            </w:pPr>
            <w:r>
              <w:rPr>
                <w:bCs/>
                <w:sz w:val="18"/>
                <w:szCs w:val="18"/>
              </w:rPr>
              <w:t xml:space="preserve">Additional cautionary text added to Section 4.4 (Reliability classification) </w:t>
            </w:r>
            <w:r w:rsidR="00930B81">
              <w:rPr>
                <w:bCs/>
                <w:sz w:val="18"/>
                <w:szCs w:val="18"/>
              </w:rPr>
              <w:t xml:space="preserve">of the mancozeb technical brief </w:t>
            </w:r>
            <w:r>
              <w:rPr>
                <w:bCs/>
                <w:sz w:val="18"/>
                <w:szCs w:val="18"/>
              </w:rPr>
              <w:t>to advise that the DGVs should be used with caution and always in conjunction with other lines of evidence.</w:t>
            </w:r>
            <w:r w:rsidR="00930B81">
              <w:rPr>
                <w:bCs/>
                <w:sz w:val="18"/>
                <w:szCs w:val="18"/>
              </w:rPr>
              <w:t xml:space="preserve"> </w:t>
            </w:r>
          </w:p>
          <w:p w14:paraId="6B6795B1" w14:textId="77777777" w:rsidR="00930B81" w:rsidRPr="00C93289" w:rsidRDefault="00A555FD" w:rsidP="00941D43">
            <w:pPr>
              <w:spacing w:before="60" w:after="60"/>
              <w:rPr>
                <w:sz w:val="18"/>
                <w:szCs w:val="18"/>
              </w:rPr>
            </w:pPr>
            <w:r>
              <w:rPr>
                <w:bCs/>
                <w:sz w:val="18"/>
                <w:szCs w:val="18"/>
              </w:rPr>
              <w:lastRenderedPageBreak/>
              <w:t>Other minor improvements were made thr</w:t>
            </w:r>
            <w:r>
              <w:rPr>
                <w:bCs/>
                <w:sz w:val="18"/>
                <w:szCs w:val="18"/>
              </w:rPr>
              <w:t>oughout the text of the mancozeb technical brief.</w:t>
            </w:r>
          </w:p>
        </w:tc>
      </w:tr>
      <w:tr w:rsidR="00031182" w14:paraId="6B6795B9" w14:textId="77777777" w:rsidTr="00941D43">
        <w:tc>
          <w:tcPr>
            <w:tcW w:w="1033" w:type="dxa"/>
          </w:tcPr>
          <w:p w14:paraId="6B6795B3" w14:textId="77777777" w:rsidR="00B55FF2" w:rsidRPr="00C93289" w:rsidRDefault="00A555FD" w:rsidP="00941D43">
            <w:pPr>
              <w:spacing w:before="60" w:after="60"/>
              <w:rPr>
                <w:sz w:val="18"/>
                <w:szCs w:val="18"/>
              </w:rPr>
            </w:pPr>
            <w:r>
              <w:rPr>
                <w:sz w:val="18"/>
                <w:szCs w:val="18"/>
              </w:rPr>
              <w:lastRenderedPageBreak/>
              <w:t>6</w:t>
            </w:r>
          </w:p>
        </w:tc>
        <w:tc>
          <w:tcPr>
            <w:tcW w:w="4774" w:type="dxa"/>
          </w:tcPr>
          <w:p w14:paraId="6B6795B4" w14:textId="77777777" w:rsidR="00B55FF2" w:rsidRPr="001E19CE" w:rsidRDefault="00A555FD" w:rsidP="00B55FF2">
            <w:pPr>
              <w:pStyle w:val="ListParagraph"/>
              <w:numPr>
                <w:ilvl w:val="0"/>
                <w:numId w:val="17"/>
              </w:numPr>
              <w:spacing w:before="60" w:after="60"/>
              <w:ind w:left="320" w:hanging="320"/>
              <w:rPr>
                <w:bCs/>
                <w:sz w:val="18"/>
                <w:szCs w:val="18"/>
                <w:lang w:val="en-GB"/>
              </w:rPr>
            </w:pPr>
            <w:r w:rsidRPr="001E19CE">
              <w:rPr>
                <w:bCs/>
                <w:sz w:val="18"/>
                <w:szCs w:val="18"/>
                <w:lang w:val="en-GB"/>
              </w:rPr>
              <w:t>Using a variety of modality assessments for the adoption in the assessment of slightly to moderate disturbed ecosystems, has the potential to form inaccuracies in the final DGVs (</w:t>
            </w:r>
            <w:proofErr w:type="gramStart"/>
            <w:r w:rsidRPr="001E19CE">
              <w:rPr>
                <w:bCs/>
                <w:sz w:val="18"/>
                <w:szCs w:val="18"/>
                <w:lang w:val="en-GB"/>
              </w:rPr>
              <w:t>e.g.</w:t>
            </w:r>
            <w:proofErr w:type="gramEnd"/>
            <w:r w:rsidRPr="001E19CE">
              <w:rPr>
                <w:bCs/>
                <w:sz w:val="18"/>
                <w:szCs w:val="18"/>
                <w:lang w:val="en-GB"/>
              </w:rPr>
              <w:t xml:space="preserve"> Draft </w:t>
            </w:r>
            <w:r w:rsidRPr="001E19CE">
              <w:rPr>
                <w:bCs/>
                <w:sz w:val="18"/>
                <w:szCs w:val="18"/>
                <w:lang w:val="en-GB"/>
              </w:rPr>
              <w:t>fipronil DGVs technical brief).</w:t>
            </w:r>
          </w:p>
          <w:p w14:paraId="6B6795B5" w14:textId="77777777" w:rsidR="00B55FF2" w:rsidRPr="001E19CE" w:rsidRDefault="00A555FD" w:rsidP="00B55FF2">
            <w:pPr>
              <w:pStyle w:val="ListParagraph"/>
              <w:numPr>
                <w:ilvl w:val="0"/>
                <w:numId w:val="17"/>
              </w:numPr>
              <w:spacing w:before="60" w:after="60"/>
              <w:ind w:left="320" w:hanging="320"/>
              <w:rPr>
                <w:bCs/>
                <w:sz w:val="18"/>
                <w:szCs w:val="18"/>
              </w:rPr>
            </w:pPr>
            <w:r w:rsidRPr="001E19CE">
              <w:rPr>
                <w:bCs/>
                <w:sz w:val="18"/>
                <w:szCs w:val="18"/>
                <w:lang w:val="en-GB"/>
              </w:rPr>
              <w:t xml:space="preserve">It is recommended that any inconsistencies in the data sets are only used in accordance with the Australian and New Zealand Guidelines for Fresh and Marine Water Quality, and not to set the basis for a regulatory framework, </w:t>
            </w:r>
            <w:r w:rsidRPr="001E19CE">
              <w:rPr>
                <w:bCs/>
                <w:sz w:val="18"/>
                <w:szCs w:val="18"/>
                <w:lang w:val="en-GB"/>
              </w:rPr>
              <w:t>and only intended for the application for water quality guidelines for slightly-to-moderately disturbed ecosystems as outlined in the toxicant default guideline technical briefs.</w:t>
            </w:r>
          </w:p>
        </w:tc>
        <w:tc>
          <w:tcPr>
            <w:tcW w:w="6663" w:type="dxa"/>
          </w:tcPr>
          <w:p w14:paraId="6B6795B6" w14:textId="77777777" w:rsidR="00B55FF2" w:rsidRDefault="00A555FD" w:rsidP="00B55FF2">
            <w:pPr>
              <w:pStyle w:val="ListParagraph"/>
              <w:numPr>
                <w:ilvl w:val="0"/>
                <w:numId w:val="18"/>
              </w:numPr>
              <w:spacing w:before="60" w:after="60"/>
              <w:ind w:left="319" w:hanging="284"/>
              <w:rPr>
                <w:iCs/>
                <w:sz w:val="18"/>
                <w:szCs w:val="18"/>
              </w:rPr>
            </w:pPr>
            <w:r w:rsidRPr="001E19CE">
              <w:rPr>
                <w:iCs/>
                <w:sz w:val="18"/>
                <w:szCs w:val="18"/>
              </w:rPr>
              <w:t>The guidance in the derivation methodology (Warne et al. 2018) in relation to</w:t>
            </w:r>
            <w:r w:rsidRPr="001E19CE">
              <w:rPr>
                <w:iCs/>
                <w:sz w:val="18"/>
                <w:szCs w:val="18"/>
              </w:rPr>
              <w:t xml:space="preserve"> dataset modality (section 3.5) is clear and provides for a robust assessment of modality upon which to make </w:t>
            </w:r>
            <w:r>
              <w:rPr>
                <w:iCs/>
                <w:sz w:val="18"/>
                <w:szCs w:val="18"/>
              </w:rPr>
              <w:t xml:space="preserve">transparent and </w:t>
            </w:r>
            <w:r w:rsidRPr="001E19CE">
              <w:rPr>
                <w:iCs/>
                <w:sz w:val="18"/>
                <w:szCs w:val="18"/>
              </w:rPr>
              <w:t>defensible decisions</w:t>
            </w:r>
            <w:r>
              <w:rPr>
                <w:iCs/>
                <w:sz w:val="18"/>
                <w:szCs w:val="18"/>
              </w:rPr>
              <w:t>. While these decisions can affect the final DGVs, it is not correct to state that they can result in inaccurac</w:t>
            </w:r>
            <w:r>
              <w:rPr>
                <w:iCs/>
                <w:sz w:val="18"/>
                <w:szCs w:val="18"/>
              </w:rPr>
              <w:t>ies in the final DGVs.</w:t>
            </w:r>
          </w:p>
          <w:p w14:paraId="6B6795B7" w14:textId="77777777" w:rsidR="00B55FF2" w:rsidRPr="001E19CE" w:rsidRDefault="00A555FD" w:rsidP="00B55FF2">
            <w:pPr>
              <w:pStyle w:val="ListParagraph"/>
              <w:numPr>
                <w:ilvl w:val="0"/>
                <w:numId w:val="18"/>
              </w:numPr>
              <w:spacing w:before="60" w:after="60"/>
              <w:ind w:left="319" w:hanging="284"/>
              <w:rPr>
                <w:iCs/>
                <w:sz w:val="18"/>
                <w:szCs w:val="18"/>
              </w:rPr>
            </w:pPr>
            <w:r>
              <w:rPr>
                <w:iCs/>
                <w:sz w:val="18"/>
                <w:szCs w:val="18"/>
              </w:rPr>
              <w:t>See response to comment 2(a).</w:t>
            </w:r>
          </w:p>
        </w:tc>
        <w:tc>
          <w:tcPr>
            <w:tcW w:w="1763" w:type="dxa"/>
          </w:tcPr>
          <w:p w14:paraId="6B6795B8" w14:textId="77777777" w:rsidR="00B55FF2" w:rsidRPr="00C93289" w:rsidRDefault="00A555FD" w:rsidP="00941D43">
            <w:pPr>
              <w:spacing w:before="60" w:after="60"/>
              <w:rPr>
                <w:sz w:val="18"/>
                <w:szCs w:val="18"/>
              </w:rPr>
            </w:pPr>
            <w:r>
              <w:rPr>
                <w:sz w:val="18"/>
                <w:szCs w:val="18"/>
              </w:rPr>
              <w:t>No changes made to technical brief</w:t>
            </w:r>
            <w:r w:rsidR="00930B81">
              <w:rPr>
                <w:sz w:val="18"/>
                <w:szCs w:val="18"/>
              </w:rPr>
              <w:t>s</w:t>
            </w:r>
            <w:r>
              <w:rPr>
                <w:sz w:val="18"/>
                <w:szCs w:val="18"/>
              </w:rPr>
              <w:t>.</w:t>
            </w:r>
          </w:p>
        </w:tc>
      </w:tr>
      <w:tr w:rsidR="00031182" w14:paraId="6B6795BE" w14:textId="77777777" w:rsidTr="00941D43">
        <w:tc>
          <w:tcPr>
            <w:tcW w:w="1033" w:type="dxa"/>
          </w:tcPr>
          <w:p w14:paraId="6B6795BA" w14:textId="77777777" w:rsidR="00B55FF2" w:rsidRPr="00C93289" w:rsidRDefault="00A555FD" w:rsidP="00941D43">
            <w:pPr>
              <w:spacing w:before="60" w:after="60"/>
              <w:rPr>
                <w:sz w:val="18"/>
                <w:szCs w:val="18"/>
              </w:rPr>
            </w:pPr>
            <w:r>
              <w:rPr>
                <w:sz w:val="18"/>
                <w:szCs w:val="18"/>
              </w:rPr>
              <w:t>7</w:t>
            </w:r>
          </w:p>
        </w:tc>
        <w:tc>
          <w:tcPr>
            <w:tcW w:w="4774" w:type="dxa"/>
          </w:tcPr>
          <w:p w14:paraId="6B6795BB" w14:textId="77777777" w:rsidR="00B55FF2" w:rsidRPr="00BD427C" w:rsidRDefault="00A555FD" w:rsidP="00941D43">
            <w:pPr>
              <w:spacing w:before="60" w:after="60"/>
              <w:rPr>
                <w:bCs/>
                <w:sz w:val="18"/>
                <w:szCs w:val="18"/>
                <w:lang w:val="en-GB"/>
              </w:rPr>
            </w:pPr>
            <w:r w:rsidRPr="00D145A9">
              <w:rPr>
                <w:bCs/>
                <w:sz w:val="18"/>
                <w:szCs w:val="18"/>
                <w:lang w:val="en-GB"/>
              </w:rPr>
              <w:t>Currently there is no immediate pathway that provides the agricultural sector with a comprehensive</w:t>
            </w:r>
            <w:r>
              <w:rPr>
                <w:bCs/>
                <w:sz w:val="18"/>
                <w:szCs w:val="18"/>
                <w:lang w:val="en-GB"/>
              </w:rPr>
              <w:t xml:space="preserve"> </w:t>
            </w:r>
            <w:r w:rsidRPr="00D145A9">
              <w:rPr>
                <w:bCs/>
                <w:sz w:val="18"/>
                <w:szCs w:val="18"/>
                <w:lang w:val="en-GB"/>
              </w:rPr>
              <w:t>toxicant list to provide reference to the changes to toxicant va</w:t>
            </w:r>
            <w:r w:rsidRPr="00D145A9">
              <w:rPr>
                <w:bCs/>
                <w:sz w:val="18"/>
                <w:szCs w:val="18"/>
                <w:lang w:val="en-GB"/>
              </w:rPr>
              <w:t>lues and what impacts these changes</w:t>
            </w:r>
            <w:r>
              <w:rPr>
                <w:bCs/>
                <w:sz w:val="18"/>
                <w:szCs w:val="18"/>
                <w:lang w:val="en-GB"/>
              </w:rPr>
              <w:t xml:space="preserve"> </w:t>
            </w:r>
            <w:r w:rsidRPr="00D145A9">
              <w:rPr>
                <w:bCs/>
                <w:sz w:val="18"/>
                <w:szCs w:val="18"/>
                <w:lang w:val="en-GB"/>
              </w:rPr>
              <w:t>could impose to chemical application rates and residue levels on farm. A cohesive and informed</w:t>
            </w:r>
            <w:r>
              <w:rPr>
                <w:bCs/>
                <w:sz w:val="18"/>
                <w:szCs w:val="18"/>
                <w:lang w:val="en-GB"/>
              </w:rPr>
              <w:t xml:space="preserve"> </w:t>
            </w:r>
            <w:r w:rsidRPr="00D145A9">
              <w:rPr>
                <w:bCs/>
                <w:sz w:val="18"/>
                <w:szCs w:val="18"/>
                <w:lang w:val="en-GB"/>
              </w:rPr>
              <w:t>reporting framework is needed in Australia to provide a comprehensive list of all ANZG toxicants, and</w:t>
            </w:r>
            <w:r>
              <w:rPr>
                <w:bCs/>
                <w:sz w:val="18"/>
                <w:szCs w:val="18"/>
                <w:lang w:val="en-GB"/>
              </w:rPr>
              <w:t xml:space="preserve"> </w:t>
            </w:r>
            <w:r w:rsidRPr="00D145A9">
              <w:rPr>
                <w:bCs/>
                <w:sz w:val="18"/>
                <w:szCs w:val="18"/>
                <w:lang w:val="en-GB"/>
              </w:rPr>
              <w:t>what these changes will</w:t>
            </w:r>
            <w:r w:rsidRPr="00D145A9">
              <w:rPr>
                <w:bCs/>
                <w:sz w:val="18"/>
                <w:szCs w:val="18"/>
                <w:lang w:val="en-GB"/>
              </w:rPr>
              <w:t xml:space="preserve"> mean to on farm use of pesticides, </w:t>
            </w:r>
            <w:proofErr w:type="gramStart"/>
            <w:r w:rsidRPr="00D145A9">
              <w:rPr>
                <w:bCs/>
                <w:sz w:val="18"/>
                <w:szCs w:val="18"/>
                <w:lang w:val="en-GB"/>
              </w:rPr>
              <w:t>herbicides</w:t>
            </w:r>
            <w:proofErr w:type="gramEnd"/>
            <w:r w:rsidRPr="00D145A9">
              <w:rPr>
                <w:bCs/>
                <w:sz w:val="18"/>
                <w:szCs w:val="18"/>
                <w:lang w:val="en-GB"/>
              </w:rPr>
              <w:t xml:space="preserve"> and fungicides.</w:t>
            </w:r>
          </w:p>
        </w:tc>
        <w:tc>
          <w:tcPr>
            <w:tcW w:w="6663" w:type="dxa"/>
          </w:tcPr>
          <w:p w14:paraId="6B6795BC" w14:textId="77777777" w:rsidR="00B55FF2" w:rsidRPr="0009332A" w:rsidRDefault="00A555FD" w:rsidP="00941D43">
            <w:pPr>
              <w:rPr>
                <w:bCs/>
                <w:sz w:val="18"/>
                <w:szCs w:val="18"/>
              </w:rPr>
            </w:pPr>
            <w:r w:rsidRPr="004C02C1">
              <w:rPr>
                <w:bCs/>
                <w:sz w:val="18"/>
                <w:szCs w:val="18"/>
              </w:rPr>
              <w:t>In Australia, primary responsibility for water resource management rests with the individual state and territory governments.  The Australian Government’s role is primarily one of providing national leadership and strategic direction through its participat</w:t>
            </w:r>
            <w:r w:rsidRPr="004C02C1">
              <w:rPr>
                <w:bCs/>
                <w:sz w:val="18"/>
                <w:szCs w:val="18"/>
              </w:rPr>
              <w:t xml:space="preserve">ion in high-level fora </w:t>
            </w:r>
            <w:r>
              <w:rPr>
                <w:bCs/>
                <w:sz w:val="18"/>
                <w:szCs w:val="18"/>
              </w:rPr>
              <w:t>an</w:t>
            </w:r>
            <w:r w:rsidRPr="004C02C1">
              <w:rPr>
                <w:bCs/>
                <w:sz w:val="18"/>
                <w:szCs w:val="18"/>
              </w:rPr>
              <w:t>d its work on water, and through its key natural resource management programs.</w:t>
            </w:r>
            <w:r>
              <w:rPr>
                <w:bCs/>
                <w:sz w:val="18"/>
                <w:szCs w:val="18"/>
              </w:rPr>
              <w:t xml:space="preserve"> In addition, t</w:t>
            </w:r>
            <w:r w:rsidRPr="004C02C1">
              <w:rPr>
                <w:bCs/>
                <w:sz w:val="18"/>
                <w:szCs w:val="18"/>
              </w:rPr>
              <w:t>he N</w:t>
            </w:r>
            <w:r>
              <w:rPr>
                <w:bCs/>
                <w:sz w:val="18"/>
                <w:szCs w:val="18"/>
              </w:rPr>
              <w:t xml:space="preserve">ational </w:t>
            </w:r>
            <w:r w:rsidRPr="004C02C1">
              <w:rPr>
                <w:bCs/>
                <w:sz w:val="18"/>
                <w:szCs w:val="18"/>
              </w:rPr>
              <w:t>W</w:t>
            </w:r>
            <w:r>
              <w:rPr>
                <w:bCs/>
                <w:sz w:val="18"/>
                <w:szCs w:val="18"/>
              </w:rPr>
              <w:t xml:space="preserve">ater </w:t>
            </w:r>
            <w:r w:rsidRPr="004C02C1">
              <w:rPr>
                <w:bCs/>
                <w:sz w:val="18"/>
                <w:szCs w:val="18"/>
              </w:rPr>
              <w:t>I</w:t>
            </w:r>
            <w:r>
              <w:rPr>
                <w:bCs/>
                <w:sz w:val="18"/>
                <w:szCs w:val="18"/>
              </w:rPr>
              <w:t xml:space="preserve">nitiative (NWI) </w:t>
            </w:r>
            <w:r w:rsidRPr="004C02C1">
              <w:rPr>
                <w:bCs/>
                <w:sz w:val="18"/>
                <w:szCs w:val="18"/>
              </w:rPr>
              <w:t xml:space="preserve">outlines the establishment of a nationally compatible system of water access entitlements, </w:t>
            </w:r>
            <w:r w:rsidRPr="004C02C1">
              <w:rPr>
                <w:bCs/>
                <w:sz w:val="18"/>
                <w:szCs w:val="18"/>
              </w:rPr>
              <w:t>efficient water markets, institutional arrangements for the recovery and management of water for the environment, improved accounting and best practice water pricing, and urban water issues.</w:t>
            </w:r>
            <w:r>
              <w:rPr>
                <w:bCs/>
                <w:sz w:val="18"/>
                <w:szCs w:val="18"/>
              </w:rPr>
              <w:t xml:space="preserve"> Currently the Australian</w:t>
            </w:r>
            <w:r w:rsidRPr="004C02C1">
              <w:rPr>
                <w:bCs/>
                <w:sz w:val="18"/>
                <w:szCs w:val="18"/>
              </w:rPr>
              <w:t xml:space="preserve"> Government </w:t>
            </w:r>
            <w:r>
              <w:rPr>
                <w:bCs/>
                <w:sz w:val="18"/>
                <w:szCs w:val="18"/>
              </w:rPr>
              <w:t>is working with the</w:t>
            </w:r>
            <w:r w:rsidRPr="004C02C1">
              <w:rPr>
                <w:bCs/>
                <w:sz w:val="18"/>
                <w:szCs w:val="18"/>
              </w:rPr>
              <w:t xml:space="preserve"> states an</w:t>
            </w:r>
            <w:r w:rsidRPr="004C02C1">
              <w:rPr>
                <w:bCs/>
                <w:sz w:val="18"/>
                <w:szCs w:val="18"/>
              </w:rPr>
              <w:t>d te</w:t>
            </w:r>
            <w:r>
              <w:rPr>
                <w:bCs/>
                <w:sz w:val="18"/>
                <w:szCs w:val="18"/>
              </w:rPr>
              <w:t>rritories governments to</w:t>
            </w:r>
            <w:r w:rsidRPr="004C02C1">
              <w:rPr>
                <w:bCs/>
                <w:sz w:val="18"/>
                <w:szCs w:val="18"/>
              </w:rPr>
              <w:t xml:space="preserve"> renew the NWI. Renewing the NWI offers the opportunity to better reflect climate change, provide for increased First Nations influence in water resource management, ensure access to safe and secure drinking </w:t>
            </w:r>
            <w:proofErr w:type="gramStart"/>
            <w:r w:rsidRPr="004C02C1">
              <w:rPr>
                <w:bCs/>
                <w:sz w:val="18"/>
                <w:szCs w:val="18"/>
              </w:rPr>
              <w:t>water</w:t>
            </w:r>
            <w:proofErr w:type="gramEnd"/>
            <w:r w:rsidRPr="004C02C1">
              <w:rPr>
                <w:bCs/>
                <w:sz w:val="18"/>
                <w:szCs w:val="18"/>
              </w:rPr>
              <w:t xml:space="preserve"> and take a str</w:t>
            </w:r>
            <w:r w:rsidRPr="004C02C1">
              <w:rPr>
                <w:bCs/>
                <w:sz w:val="18"/>
                <w:szCs w:val="18"/>
              </w:rPr>
              <w:t>ategic approach to groundwater management.</w:t>
            </w:r>
          </w:p>
        </w:tc>
        <w:tc>
          <w:tcPr>
            <w:tcW w:w="1763" w:type="dxa"/>
          </w:tcPr>
          <w:p w14:paraId="6B6795BD" w14:textId="77777777" w:rsidR="00B55FF2" w:rsidRDefault="00A555FD" w:rsidP="00941D43">
            <w:pPr>
              <w:spacing w:before="60" w:after="60"/>
              <w:rPr>
                <w:sz w:val="18"/>
                <w:szCs w:val="18"/>
              </w:rPr>
            </w:pPr>
            <w:r w:rsidRPr="003076D2">
              <w:rPr>
                <w:sz w:val="18"/>
                <w:szCs w:val="18"/>
              </w:rPr>
              <w:t>No changes made to technical brief</w:t>
            </w:r>
            <w:r>
              <w:rPr>
                <w:sz w:val="18"/>
                <w:szCs w:val="18"/>
              </w:rPr>
              <w:t>s</w:t>
            </w:r>
            <w:r w:rsidRPr="003076D2">
              <w:rPr>
                <w:sz w:val="18"/>
                <w:szCs w:val="18"/>
              </w:rPr>
              <w:t>.</w:t>
            </w:r>
          </w:p>
        </w:tc>
      </w:tr>
      <w:tr w:rsidR="00031182" w14:paraId="6B6795C3" w14:textId="77777777" w:rsidTr="00941D43">
        <w:tc>
          <w:tcPr>
            <w:tcW w:w="1033" w:type="dxa"/>
          </w:tcPr>
          <w:p w14:paraId="6B6795BF" w14:textId="77777777" w:rsidR="00B55FF2" w:rsidRPr="00C93289" w:rsidRDefault="00A555FD" w:rsidP="00941D43">
            <w:pPr>
              <w:spacing w:before="60" w:after="60"/>
              <w:rPr>
                <w:sz w:val="18"/>
                <w:szCs w:val="18"/>
              </w:rPr>
            </w:pPr>
            <w:r>
              <w:rPr>
                <w:sz w:val="18"/>
                <w:szCs w:val="18"/>
              </w:rPr>
              <w:lastRenderedPageBreak/>
              <w:t>8</w:t>
            </w:r>
          </w:p>
        </w:tc>
        <w:tc>
          <w:tcPr>
            <w:tcW w:w="4774" w:type="dxa"/>
          </w:tcPr>
          <w:p w14:paraId="6B6795C0" w14:textId="77777777" w:rsidR="00B55FF2" w:rsidRPr="00BD427C" w:rsidRDefault="00A555FD" w:rsidP="00941D43">
            <w:pPr>
              <w:spacing w:before="60" w:after="60"/>
              <w:rPr>
                <w:bCs/>
                <w:sz w:val="18"/>
                <w:szCs w:val="18"/>
                <w:lang w:val="en-GB"/>
              </w:rPr>
            </w:pPr>
            <w:r w:rsidRPr="00D145A9">
              <w:rPr>
                <w:bCs/>
                <w:sz w:val="18"/>
                <w:szCs w:val="18"/>
                <w:lang w:val="en-GB"/>
              </w:rPr>
              <w:t>The development of a single national point of reference, which includes an environmental monitoring</w:t>
            </w:r>
            <w:r>
              <w:rPr>
                <w:bCs/>
                <w:sz w:val="18"/>
                <w:szCs w:val="18"/>
                <w:lang w:val="en-GB"/>
              </w:rPr>
              <w:t xml:space="preserve"> </w:t>
            </w:r>
            <w:r w:rsidRPr="00D145A9">
              <w:rPr>
                <w:bCs/>
                <w:sz w:val="18"/>
                <w:szCs w:val="18"/>
                <w:lang w:val="en-GB"/>
              </w:rPr>
              <w:t>platform, and performance measures to help farms identify water quality i</w:t>
            </w:r>
            <w:r w:rsidRPr="00D145A9">
              <w:rPr>
                <w:bCs/>
                <w:sz w:val="18"/>
                <w:szCs w:val="18"/>
                <w:lang w:val="en-GB"/>
              </w:rPr>
              <w:t>ssues will help assist the</w:t>
            </w:r>
            <w:r>
              <w:rPr>
                <w:bCs/>
                <w:sz w:val="18"/>
                <w:szCs w:val="18"/>
                <w:lang w:val="en-GB"/>
              </w:rPr>
              <w:t xml:space="preserve"> </w:t>
            </w:r>
            <w:r w:rsidRPr="00D145A9">
              <w:rPr>
                <w:bCs/>
                <w:sz w:val="18"/>
                <w:szCs w:val="18"/>
                <w:lang w:val="en-GB"/>
              </w:rPr>
              <w:t>agricultural sector to balance chemical application and environmental protection that will help support</w:t>
            </w:r>
            <w:r>
              <w:rPr>
                <w:bCs/>
                <w:sz w:val="18"/>
                <w:szCs w:val="18"/>
                <w:lang w:val="en-GB"/>
              </w:rPr>
              <w:t xml:space="preserve"> </w:t>
            </w:r>
            <w:r w:rsidRPr="00D145A9">
              <w:rPr>
                <w:bCs/>
                <w:sz w:val="18"/>
                <w:szCs w:val="18"/>
                <w:lang w:val="en-GB"/>
              </w:rPr>
              <w:t>sustainable agriculture into the future.</w:t>
            </w:r>
          </w:p>
        </w:tc>
        <w:tc>
          <w:tcPr>
            <w:tcW w:w="6663" w:type="dxa"/>
          </w:tcPr>
          <w:p w14:paraId="6B6795C1" w14:textId="77777777" w:rsidR="00B55FF2" w:rsidRPr="003B52E7" w:rsidRDefault="00A555FD" w:rsidP="00941D43">
            <w:pPr>
              <w:spacing w:before="60" w:after="60"/>
              <w:rPr>
                <w:iCs/>
                <w:sz w:val="18"/>
                <w:szCs w:val="18"/>
              </w:rPr>
            </w:pPr>
            <w:r w:rsidRPr="004C02C1">
              <w:rPr>
                <w:iCs/>
                <w:sz w:val="18"/>
                <w:szCs w:val="18"/>
              </w:rPr>
              <w:t>Please see response to comment 7.</w:t>
            </w:r>
          </w:p>
        </w:tc>
        <w:tc>
          <w:tcPr>
            <w:tcW w:w="1763" w:type="dxa"/>
          </w:tcPr>
          <w:p w14:paraId="6B6795C2" w14:textId="77777777" w:rsidR="00B55FF2" w:rsidRDefault="00A555FD" w:rsidP="00941D43">
            <w:pPr>
              <w:spacing w:before="60" w:after="60"/>
              <w:rPr>
                <w:sz w:val="18"/>
                <w:szCs w:val="18"/>
              </w:rPr>
            </w:pPr>
            <w:r>
              <w:rPr>
                <w:sz w:val="18"/>
                <w:szCs w:val="18"/>
              </w:rPr>
              <w:t>No changes made to technical briefs.</w:t>
            </w:r>
          </w:p>
        </w:tc>
      </w:tr>
    </w:tbl>
    <w:p w14:paraId="6B6795C4" w14:textId="77777777" w:rsidR="00B55FF2" w:rsidRPr="00F55E2B" w:rsidRDefault="00A555FD" w:rsidP="00B55FF2">
      <w:pPr>
        <w:pStyle w:val="Heading3"/>
      </w:pPr>
      <w:r w:rsidRPr="00F55E2B">
        <w:t>References</w:t>
      </w:r>
    </w:p>
    <w:p w14:paraId="6B6795C5" w14:textId="77777777" w:rsidR="00B55FF2" w:rsidRPr="00B55FF2" w:rsidRDefault="00A555FD" w:rsidP="00B55FF2">
      <w:pPr>
        <w:spacing w:after="60"/>
        <w:rPr>
          <w:sz w:val="18"/>
          <w:szCs w:val="18"/>
        </w:rPr>
      </w:pPr>
      <w:r w:rsidRPr="00B55FF2">
        <w:rPr>
          <w:sz w:val="18"/>
          <w:szCs w:val="18"/>
        </w:rPr>
        <w:t>A</w:t>
      </w:r>
      <w:r w:rsidRPr="00B55FF2">
        <w:rPr>
          <w:sz w:val="18"/>
          <w:szCs w:val="18"/>
        </w:rPr>
        <w:t>NZG 2018. Australian and New Zealand Guidelines for Fresh and Marine Water Quality. Australian and New Zealand Governments and Australian state and territory governments, Canberra, ACT, Australia.</w:t>
      </w:r>
    </w:p>
    <w:p w14:paraId="6B6795C6" w14:textId="77777777" w:rsidR="00B55FF2" w:rsidRPr="00B55FF2" w:rsidRDefault="00A555FD" w:rsidP="00B55FF2">
      <w:pPr>
        <w:spacing w:after="60"/>
        <w:rPr>
          <w:sz w:val="18"/>
          <w:szCs w:val="18"/>
          <w:lang w:val="en-GB"/>
        </w:rPr>
      </w:pPr>
      <w:r w:rsidRPr="00B55FF2">
        <w:rPr>
          <w:sz w:val="18"/>
          <w:szCs w:val="18"/>
          <w:lang w:val="en-GB"/>
        </w:rPr>
        <w:t>Batley, GE, van Dam, RA, Warne, MStJ, Chapman, JC, Fox, DR,</w:t>
      </w:r>
      <w:r w:rsidRPr="00B55FF2">
        <w:rPr>
          <w:sz w:val="18"/>
          <w:szCs w:val="18"/>
          <w:lang w:val="en-GB"/>
        </w:rPr>
        <w:t xml:space="preserve"> Hickey, CW and Stauber, JL 2018. Technical rationale for changes to the Method for Deriving Australian and New Zealand Water Quality Guideline Values for Toxicants. Prepared for the revision of the Australian and New Zealand Guidelines for Fresh and Marin</w:t>
      </w:r>
      <w:r w:rsidRPr="00B55FF2">
        <w:rPr>
          <w:sz w:val="18"/>
          <w:szCs w:val="18"/>
          <w:lang w:val="en-GB"/>
        </w:rPr>
        <w:t>e Water Quality. Australian and New Zealand Governments and Australian state and territory governments, Canberra, ACT, 49 pp.</w:t>
      </w:r>
    </w:p>
    <w:p w14:paraId="6B6795C7" w14:textId="77777777" w:rsidR="00B55FF2" w:rsidRPr="00B55FF2" w:rsidRDefault="00A555FD" w:rsidP="00B55FF2">
      <w:pPr>
        <w:spacing w:after="60"/>
        <w:rPr>
          <w:sz w:val="18"/>
          <w:szCs w:val="18"/>
          <w:lang w:val="en-GB"/>
        </w:rPr>
      </w:pPr>
      <w:r w:rsidRPr="00B55FF2">
        <w:rPr>
          <w:sz w:val="18"/>
          <w:szCs w:val="18"/>
          <w:lang w:val="en-GB"/>
        </w:rPr>
        <w:t xml:space="preserve">Navarro J, Hadjikakou M, Ridoutt B, Parry H &amp; Bryan BA 2021. Pesticide Toxicity Hazard of Agriculture: Regional and Commodity Hotspots in Australia. </w:t>
      </w:r>
      <w:r w:rsidRPr="00B55FF2">
        <w:rPr>
          <w:i/>
          <w:iCs/>
          <w:sz w:val="18"/>
          <w:szCs w:val="18"/>
          <w:lang w:val="en-GB"/>
        </w:rPr>
        <w:t>Environmental Science &amp; Technology</w:t>
      </w:r>
      <w:r w:rsidRPr="00B55FF2">
        <w:rPr>
          <w:sz w:val="18"/>
          <w:szCs w:val="18"/>
          <w:lang w:val="en-GB"/>
        </w:rPr>
        <w:t>, 55, 1290-1300.</w:t>
      </w:r>
    </w:p>
    <w:p w14:paraId="6B6795C8" w14:textId="77777777" w:rsidR="00B55FF2" w:rsidRPr="00B55FF2" w:rsidRDefault="00A555FD" w:rsidP="00B55FF2">
      <w:pPr>
        <w:spacing w:after="60"/>
        <w:rPr>
          <w:sz w:val="18"/>
          <w:szCs w:val="18"/>
        </w:rPr>
      </w:pPr>
      <w:r w:rsidRPr="00B55FF2">
        <w:rPr>
          <w:sz w:val="18"/>
          <w:szCs w:val="18"/>
        </w:rPr>
        <w:t xml:space="preserve">NHMRC 2016, Australian Drinking Water Guidelines (2011) </w:t>
      </w:r>
      <w:r w:rsidRPr="00B55FF2">
        <w:rPr>
          <w:sz w:val="18"/>
          <w:szCs w:val="18"/>
        </w:rPr>
        <w:t>— Updated 2016, National Health and Medical Research Council, Canberra.</w:t>
      </w:r>
    </w:p>
    <w:p w14:paraId="6B6795C9" w14:textId="77777777" w:rsidR="009747AF" w:rsidRPr="00B55FF2" w:rsidRDefault="00A555FD" w:rsidP="009747AF">
      <w:pPr>
        <w:spacing w:line="280" w:lineRule="atLeast"/>
        <w:rPr>
          <w:sz w:val="18"/>
          <w:szCs w:val="18"/>
        </w:rPr>
      </w:pPr>
      <w:r w:rsidRPr="00B55FF2">
        <w:rPr>
          <w:sz w:val="18"/>
          <w:szCs w:val="18"/>
          <w:lang w:val="en-GB"/>
        </w:rPr>
        <w:t xml:space="preserve">Warne MStJ, Batley GE, van Dam RA, Chapman JC, Fox DR, Hickey CW &amp; Stauber JL 2018. Revised Method for Deriving Australian and New Zealand Water Quality Guideline Values for Toxicants </w:t>
      </w:r>
      <w:r w:rsidRPr="00B55FF2">
        <w:rPr>
          <w:sz w:val="18"/>
          <w:szCs w:val="18"/>
          <w:lang w:val="en-GB"/>
        </w:rPr>
        <w:t>– update of 2015 version. Prepared for the revision of the Australian and New Zealand Guidelines for Fresh and Marine Water Quality. Australian and New Zealand Governments and Australian state and territory governments, Canberra, 48 pp.</w:t>
      </w:r>
    </w:p>
    <w:p w14:paraId="6B6795CA" w14:textId="77777777" w:rsidR="009747AF" w:rsidRPr="002B74F5" w:rsidRDefault="009747AF" w:rsidP="009747AF">
      <w:pPr>
        <w:spacing w:line="280" w:lineRule="atLeast"/>
        <w:rPr>
          <w:sz w:val="20"/>
          <w:szCs w:val="20"/>
        </w:rPr>
      </w:pPr>
    </w:p>
    <w:p w14:paraId="6B6795CB" w14:textId="77777777" w:rsidR="009747AF" w:rsidRDefault="009747AF" w:rsidP="009747AF"/>
    <w:p w14:paraId="6B6795CC" w14:textId="77777777" w:rsidR="009747AF" w:rsidRPr="009747AF" w:rsidRDefault="009747AF" w:rsidP="009747AF"/>
    <w:sectPr w:rsidR="009747AF" w:rsidRPr="009747AF" w:rsidSect="00B2382D">
      <w:headerReference w:type="first" r:id="rId16"/>
      <w:footerReference w:type="first" r:id="rId17"/>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795DC" w14:textId="77777777" w:rsidR="00000000" w:rsidRDefault="00A555FD">
      <w:pPr>
        <w:spacing w:before="0" w:after="0" w:line="240" w:lineRule="auto"/>
      </w:pPr>
      <w:r>
        <w:separator/>
      </w:r>
    </w:p>
  </w:endnote>
  <w:endnote w:type="continuationSeparator" w:id="0">
    <w:p w14:paraId="6B6795DE" w14:textId="77777777" w:rsidR="00000000" w:rsidRDefault="00A555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6B6795CF" w14:textId="77777777" w:rsidR="00FB3DCB" w:rsidRDefault="00FB3DCB" w:rsidP="00FB3DCB">
            <w:pPr>
              <w:pStyle w:val="Footer"/>
              <w:jc w:val="right"/>
            </w:pPr>
          </w:p>
          <w:p w14:paraId="6B6795D0" w14:textId="77777777" w:rsidR="00FB3DCB" w:rsidRDefault="00A555FD" w:rsidP="00B745B2">
            <w:pPr>
              <w:pStyle w:val="Footer"/>
              <w:jc w:val="both"/>
            </w:pPr>
            <w:r>
              <w:t xml:space="preserve">Response to public submissions on draft default guidelines for </w:t>
            </w:r>
            <w:r w:rsidR="004E6A7F" w:rsidRPr="004E6A7F">
              <w:rPr>
                <w:rFonts w:asciiTheme="minorHAnsi" w:hAnsiTheme="minorHAnsi" w:cstheme="minorHAnsi"/>
              </w:rPr>
              <w:t>dioxins in freshwater</w:t>
            </w:r>
            <w:r w:rsidRPr="004E6A7F">
              <w:tab/>
            </w:r>
            <w:r w:rsidRPr="004E6A7F">
              <w:t xml:space="preserve">                                                                       </w:t>
            </w:r>
            <w:r w:rsidR="00B745B2" w:rsidRPr="004E6A7F">
              <w:t xml:space="preserve">                    </w:t>
            </w:r>
            <w:r w:rsidRPr="004E6A7F">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6B6795D1" w14:textId="77777777" w:rsidR="00FB3DCB" w:rsidRDefault="00FB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6477"/>
      <w:docPartObj>
        <w:docPartGallery w:val="Page Numbers (Bottom of Page)"/>
        <w:docPartUnique/>
      </w:docPartObj>
    </w:sdtPr>
    <w:sdtEndPr/>
    <w:sdtContent>
      <w:sdt>
        <w:sdtPr>
          <w:id w:val="1089893921"/>
          <w:docPartObj>
            <w:docPartGallery w:val="Page Numbers (Top of Page)"/>
            <w:docPartUnique/>
          </w:docPartObj>
        </w:sdtPr>
        <w:sdtEndPr/>
        <w:sdtContent>
          <w:p w14:paraId="6B6795D3" w14:textId="77777777" w:rsidR="005B6710" w:rsidRDefault="00A555F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6B6795D4" w14:textId="77777777" w:rsidR="005B6710" w:rsidRDefault="005B6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6B6795D6" w14:textId="77777777" w:rsidR="00B2382D" w:rsidRDefault="00B2382D">
            <w:pPr>
              <w:pStyle w:val="Footer"/>
              <w:jc w:val="right"/>
            </w:pPr>
          </w:p>
          <w:p w14:paraId="6B6795D7" w14:textId="77777777" w:rsidR="00B2382D" w:rsidRDefault="00A555FD" w:rsidP="00B2382D">
            <w:pPr>
              <w:pStyle w:val="Header"/>
            </w:pPr>
            <w:r>
              <w:t xml:space="preserve">Response to public submissions on draft default guideline values for </w:t>
            </w:r>
            <w:r w:rsidR="004E6A7F" w:rsidRPr="004E6A7F">
              <w:rPr>
                <w:rFonts w:asciiTheme="minorHAnsi" w:hAnsiTheme="minorHAnsi" w:cstheme="minorHAnsi"/>
              </w:rPr>
              <w:t>dioxins in freshwater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95D8" w14:textId="77777777" w:rsidR="00000000" w:rsidRDefault="00A555FD">
      <w:pPr>
        <w:spacing w:before="0" w:after="0" w:line="240" w:lineRule="auto"/>
      </w:pPr>
      <w:r>
        <w:separator/>
      </w:r>
    </w:p>
  </w:footnote>
  <w:footnote w:type="continuationSeparator" w:id="0">
    <w:p w14:paraId="6B6795DA" w14:textId="77777777" w:rsidR="00000000" w:rsidRDefault="00A555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5D2" w14:textId="77777777" w:rsidR="00AD184E" w:rsidRDefault="00A555FD">
    <w:pPr>
      <w:pStyle w:val="Header"/>
    </w:pPr>
    <w:r>
      <w:rPr>
        <w:noProof/>
      </w:rPr>
      <w:drawing>
        <wp:anchor distT="0" distB="0" distL="114300" distR="114300" simplePos="0" relativeHeight="251658240" behindDoc="1" locked="0" layoutInCell="1" allowOverlap="1" wp14:anchorId="6B6795D8" wp14:editId="6B6795D9">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9040"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95D5" w14:textId="77777777" w:rsidR="00B2382D" w:rsidRPr="00B2382D" w:rsidRDefault="00B2382D" w:rsidP="00B2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52"/>
    <w:multiLevelType w:val="hybridMultilevel"/>
    <w:tmpl w:val="F87A23F6"/>
    <w:lvl w:ilvl="0" w:tplc="12E4365C">
      <w:start w:val="1"/>
      <w:numFmt w:val="bullet"/>
      <w:lvlText w:val=""/>
      <w:lvlJc w:val="left"/>
      <w:pPr>
        <w:ind w:left="720" w:hanging="360"/>
      </w:pPr>
      <w:rPr>
        <w:rFonts w:ascii="Symbol" w:hAnsi="Symbol" w:hint="default"/>
      </w:rPr>
    </w:lvl>
    <w:lvl w:ilvl="1" w:tplc="EFD21348" w:tentative="1">
      <w:start w:val="1"/>
      <w:numFmt w:val="bullet"/>
      <w:lvlText w:val="o"/>
      <w:lvlJc w:val="left"/>
      <w:pPr>
        <w:ind w:left="1440" w:hanging="360"/>
      </w:pPr>
      <w:rPr>
        <w:rFonts w:ascii="Courier New" w:hAnsi="Courier New" w:cs="Courier New" w:hint="default"/>
      </w:rPr>
    </w:lvl>
    <w:lvl w:ilvl="2" w:tplc="097EA824" w:tentative="1">
      <w:start w:val="1"/>
      <w:numFmt w:val="bullet"/>
      <w:lvlText w:val=""/>
      <w:lvlJc w:val="left"/>
      <w:pPr>
        <w:ind w:left="2160" w:hanging="360"/>
      </w:pPr>
      <w:rPr>
        <w:rFonts w:ascii="Wingdings" w:hAnsi="Wingdings" w:hint="default"/>
      </w:rPr>
    </w:lvl>
    <w:lvl w:ilvl="3" w:tplc="F830F940" w:tentative="1">
      <w:start w:val="1"/>
      <w:numFmt w:val="bullet"/>
      <w:lvlText w:val=""/>
      <w:lvlJc w:val="left"/>
      <w:pPr>
        <w:ind w:left="2880" w:hanging="360"/>
      </w:pPr>
      <w:rPr>
        <w:rFonts w:ascii="Symbol" w:hAnsi="Symbol" w:hint="default"/>
      </w:rPr>
    </w:lvl>
    <w:lvl w:ilvl="4" w:tplc="BAC6E6EE" w:tentative="1">
      <w:start w:val="1"/>
      <w:numFmt w:val="bullet"/>
      <w:lvlText w:val="o"/>
      <w:lvlJc w:val="left"/>
      <w:pPr>
        <w:ind w:left="3600" w:hanging="360"/>
      </w:pPr>
      <w:rPr>
        <w:rFonts w:ascii="Courier New" w:hAnsi="Courier New" w:cs="Courier New" w:hint="default"/>
      </w:rPr>
    </w:lvl>
    <w:lvl w:ilvl="5" w:tplc="E4703288" w:tentative="1">
      <w:start w:val="1"/>
      <w:numFmt w:val="bullet"/>
      <w:lvlText w:val=""/>
      <w:lvlJc w:val="left"/>
      <w:pPr>
        <w:ind w:left="4320" w:hanging="360"/>
      </w:pPr>
      <w:rPr>
        <w:rFonts w:ascii="Wingdings" w:hAnsi="Wingdings" w:hint="default"/>
      </w:rPr>
    </w:lvl>
    <w:lvl w:ilvl="6" w:tplc="FC5E3592" w:tentative="1">
      <w:start w:val="1"/>
      <w:numFmt w:val="bullet"/>
      <w:lvlText w:val=""/>
      <w:lvlJc w:val="left"/>
      <w:pPr>
        <w:ind w:left="5040" w:hanging="360"/>
      </w:pPr>
      <w:rPr>
        <w:rFonts w:ascii="Symbol" w:hAnsi="Symbol" w:hint="default"/>
      </w:rPr>
    </w:lvl>
    <w:lvl w:ilvl="7" w:tplc="742079B6" w:tentative="1">
      <w:start w:val="1"/>
      <w:numFmt w:val="bullet"/>
      <w:lvlText w:val="o"/>
      <w:lvlJc w:val="left"/>
      <w:pPr>
        <w:ind w:left="5760" w:hanging="360"/>
      </w:pPr>
      <w:rPr>
        <w:rFonts w:ascii="Courier New" w:hAnsi="Courier New" w:cs="Courier New" w:hint="default"/>
      </w:rPr>
    </w:lvl>
    <w:lvl w:ilvl="8" w:tplc="CDE8F608" w:tentative="1">
      <w:start w:val="1"/>
      <w:numFmt w:val="bullet"/>
      <w:lvlText w:val=""/>
      <w:lvlJc w:val="left"/>
      <w:pPr>
        <w:ind w:left="6480" w:hanging="360"/>
      </w:pPr>
      <w:rPr>
        <w:rFonts w:ascii="Wingdings" w:hAnsi="Wingdings" w:hint="default"/>
      </w:rPr>
    </w:lvl>
  </w:abstractNum>
  <w:abstractNum w:abstractNumId="1" w15:restartNumberingAfterBreak="0">
    <w:nsid w:val="066E53A4"/>
    <w:multiLevelType w:val="hybridMultilevel"/>
    <w:tmpl w:val="7ABAA924"/>
    <w:lvl w:ilvl="0" w:tplc="A2F4DEFC">
      <w:start w:val="1"/>
      <w:numFmt w:val="lowerLetter"/>
      <w:lvlText w:val="(%1)"/>
      <w:lvlJc w:val="left"/>
      <w:pPr>
        <w:ind w:left="720" w:hanging="360"/>
      </w:pPr>
      <w:rPr>
        <w:rFonts w:hint="default"/>
      </w:rPr>
    </w:lvl>
    <w:lvl w:ilvl="1" w:tplc="EC6EFE58" w:tentative="1">
      <w:start w:val="1"/>
      <w:numFmt w:val="lowerLetter"/>
      <w:lvlText w:val="%2."/>
      <w:lvlJc w:val="left"/>
      <w:pPr>
        <w:ind w:left="1440" w:hanging="360"/>
      </w:pPr>
    </w:lvl>
    <w:lvl w:ilvl="2" w:tplc="3EA6F36A" w:tentative="1">
      <w:start w:val="1"/>
      <w:numFmt w:val="lowerRoman"/>
      <w:lvlText w:val="%3."/>
      <w:lvlJc w:val="right"/>
      <w:pPr>
        <w:ind w:left="2160" w:hanging="180"/>
      </w:pPr>
    </w:lvl>
    <w:lvl w:ilvl="3" w:tplc="D51C1A92" w:tentative="1">
      <w:start w:val="1"/>
      <w:numFmt w:val="decimal"/>
      <w:lvlText w:val="%4."/>
      <w:lvlJc w:val="left"/>
      <w:pPr>
        <w:ind w:left="2880" w:hanging="360"/>
      </w:pPr>
    </w:lvl>
    <w:lvl w:ilvl="4" w:tplc="D1401CCE" w:tentative="1">
      <w:start w:val="1"/>
      <w:numFmt w:val="lowerLetter"/>
      <w:lvlText w:val="%5."/>
      <w:lvlJc w:val="left"/>
      <w:pPr>
        <w:ind w:left="3600" w:hanging="360"/>
      </w:pPr>
    </w:lvl>
    <w:lvl w:ilvl="5" w:tplc="94449D84" w:tentative="1">
      <w:start w:val="1"/>
      <w:numFmt w:val="lowerRoman"/>
      <w:lvlText w:val="%6."/>
      <w:lvlJc w:val="right"/>
      <w:pPr>
        <w:ind w:left="4320" w:hanging="180"/>
      </w:pPr>
    </w:lvl>
    <w:lvl w:ilvl="6" w:tplc="4F444F70" w:tentative="1">
      <w:start w:val="1"/>
      <w:numFmt w:val="decimal"/>
      <w:lvlText w:val="%7."/>
      <w:lvlJc w:val="left"/>
      <w:pPr>
        <w:ind w:left="5040" w:hanging="360"/>
      </w:pPr>
    </w:lvl>
    <w:lvl w:ilvl="7" w:tplc="0A84E5C8" w:tentative="1">
      <w:start w:val="1"/>
      <w:numFmt w:val="lowerLetter"/>
      <w:lvlText w:val="%8."/>
      <w:lvlJc w:val="left"/>
      <w:pPr>
        <w:ind w:left="5760" w:hanging="360"/>
      </w:pPr>
    </w:lvl>
    <w:lvl w:ilvl="8" w:tplc="E91C5B20" w:tentative="1">
      <w:start w:val="1"/>
      <w:numFmt w:val="lowerRoman"/>
      <w:lvlText w:val="%9."/>
      <w:lvlJc w:val="right"/>
      <w:pPr>
        <w:ind w:left="6480" w:hanging="180"/>
      </w:pPr>
    </w:lvl>
  </w:abstractNum>
  <w:abstractNum w:abstractNumId="2" w15:restartNumberingAfterBreak="0">
    <w:nsid w:val="088B78AE"/>
    <w:multiLevelType w:val="hybridMultilevel"/>
    <w:tmpl w:val="9CF28DCE"/>
    <w:lvl w:ilvl="0" w:tplc="8E0AB254">
      <w:start w:val="1"/>
      <w:numFmt w:val="bullet"/>
      <w:lvlText w:val=""/>
      <w:lvlJc w:val="left"/>
      <w:pPr>
        <w:ind w:left="745" w:hanging="360"/>
      </w:pPr>
      <w:rPr>
        <w:rFonts w:ascii="Symbol" w:hAnsi="Symbol" w:hint="default"/>
      </w:rPr>
    </w:lvl>
    <w:lvl w:ilvl="1" w:tplc="E14CC55E" w:tentative="1">
      <w:start w:val="1"/>
      <w:numFmt w:val="bullet"/>
      <w:lvlText w:val="o"/>
      <w:lvlJc w:val="left"/>
      <w:pPr>
        <w:ind w:left="1465" w:hanging="360"/>
      </w:pPr>
      <w:rPr>
        <w:rFonts w:ascii="Courier New" w:hAnsi="Courier New" w:cs="Courier New" w:hint="default"/>
      </w:rPr>
    </w:lvl>
    <w:lvl w:ilvl="2" w:tplc="3FA2B858" w:tentative="1">
      <w:start w:val="1"/>
      <w:numFmt w:val="bullet"/>
      <w:lvlText w:val=""/>
      <w:lvlJc w:val="left"/>
      <w:pPr>
        <w:ind w:left="2185" w:hanging="360"/>
      </w:pPr>
      <w:rPr>
        <w:rFonts w:ascii="Wingdings" w:hAnsi="Wingdings" w:hint="default"/>
      </w:rPr>
    </w:lvl>
    <w:lvl w:ilvl="3" w:tplc="AAA62F6C" w:tentative="1">
      <w:start w:val="1"/>
      <w:numFmt w:val="bullet"/>
      <w:lvlText w:val=""/>
      <w:lvlJc w:val="left"/>
      <w:pPr>
        <w:ind w:left="2905" w:hanging="360"/>
      </w:pPr>
      <w:rPr>
        <w:rFonts w:ascii="Symbol" w:hAnsi="Symbol" w:hint="default"/>
      </w:rPr>
    </w:lvl>
    <w:lvl w:ilvl="4" w:tplc="B3983F50" w:tentative="1">
      <w:start w:val="1"/>
      <w:numFmt w:val="bullet"/>
      <w:lvlText w:val="o"/>
      <w:lvlJc w:val="left"/>
      <w:pPr>
        <w:ind w:left="3625" w:hanging="360"/>
      </w:pPr>
      <w:rPr>
        <w:rFonts w:ascii="Courier New" w:hAnsi="Courier New" w:cs="Courier New" w:hint="default"/>
      </w:rPr>
    </w:lvl>
    <w:lvl w:ilvl="5" w:tplc="31E2FDDC" w:tentative="1">
      <w:start w:val="1"/>
      <w:numFmt w:val="bullet"/>
      <w:lvlText w:val=""/>
      <w:lvlJc w:val="left"/>
      <w:pPr>
        <w:ind w:left="4345" w:hanging="360"/>
      </w:pPr>
      <w:rPr>
        <w:rFonts w:ascii="Wingdings" w:hAnsi="Wingdings" w:hint="default"/>
      </w:rPr>
    </w:lvl>
    <w:lvl w:ilvl="6" w:tplc="9496BE6C" w:tentative="1">
      <w:start w:val="1"/>
      <w:numFmt w:val="bullet"/>
      <w:lvlText w:val=""/>
      <w:lvlJc w:val="left"/>
      <w:pPr>
        <w:ind w:left="5065" w:hanging="360"/>
      </w:pPr>
      <w:rPr>
        <w:rFonts w:ascii="Symbol" w:hAnsi="Symbol" w:hint="default"/>
      </w:rPr>
    </w:lvl>
    <w:lvl w:ilvl="7" w:tplc="B87AA0F8" w:tentative="1">
      <w:start w:val="1"/>
      <w:numFmt w:val="bullet"/>
      <w:lvlText w:val="o"/>
      <w:lvlJc w:val="left"/>
      <w:pPr>
        <w:ind w:left="5785" w:hanging="360"/>
      </w:pPr>
      <w:rPr>
        <w:rFonts w:ascii="Courier New" w:hAnsi="Courier New" w:cs="Courier New" w:hint="default"/>
      </w:rPr>
    </w:lvl>
    <w:lvl w:ilvl="8" w:tplc="C01A39BE" w:tentative="1">
      <w:start w:val="1"/>
      <w:numFmt w:val="bullet"/>
      <w:lvlText w:val=""/>
      <w:lvlJc w:val="left"/>
      <w:pPr>
        <w:ind w:left="6505" w:hanging="360"/>
      </w:pPr>
      <w:rPr>
        <w:rFonts w:ascii="Wingdings" w:hAnsi="Wingdings" w:hint="default"/>
      </w:rPr>
    </w:lvl>
  </w:abstractNum>
  <w:abstractNum w:abstractNumId="3" w15:restartNumberingAfterBreak="0">
    <w:nsid w:val="129876B6"/>
    <w:multiLevelType w:val="hybridMultilevel"/>
    <w:tmpl w:val="D4C88DD2"/>
    <w:lvl w:ilvl="0" w:tplc="0F242726">
      <w:start w:val="1"/>
      <w:numFmt w:val="lowerLetter"/>
      <w:lvlText w:val="(%1)"/>
      <w:lvlJc w:val="left"/>
      <w:pPr>
        <w:ind w:left="720" w:hanging="360"/>
      </w:pPr>
      <w:rPr>
        <w:rFonts w:hint="default"/>
      </w:rPr>
    </w:lvl>
    <w:lvl w:ilvl="1" w:tplc="6784B046" w:tentative="1">
      <w:start w:val="1"/>
      <w:numFmt w:val="lowerLetter"/>
      <w:lvlText w:val="%2."/>
      <w:lvlJc w:val="left"/>
      <w:pPr>
        <w:ind w:left="1440" w:hanging="360"/>
      </w:pPr>
    </w:lvl>
    <w:lvl w:ilvl="2" w:tplc="1EC4C1AC" w:tentative="1">
      <w:start w:val="1"/>
      <w:numFmt w:val="lowerRoman"/>
      <w:lvlText w:val="%3."/>
      <w:lvlJc w:val="right"/>
      <w:pPr>
        <w:ind w:left="2160" w:hanging="180"/>
      </w:pPr>
    </w:lvl>
    <w:lvl w:ilvl="3" w:tplc="6A80205A" w:tentative="1">
      <w:start w:val="1"/>
      <w:numFmt w:val="decimal"/>
      <w:lvlText w:val="%4."/>
      <w:lvlJc w:val="left"/>
      <w:pPr>
        <w:ind w:left="2880" w:hanging="360"/>
      </w:pPr>
    </w:lvl>
    <w:lvl w:ilvl="4" w:tplc="9090870A" w:tentative="1">
      <w:start w:val="1"/>
      <w:numFmt w:val="lowerLetter"/>
      <w:lvlText w:val="%5."/>
      <w:lvlJc w:val="left"/>
      <w:pPr>
        <w:ind w:left="3600" w:hanging="360"/>
      </w:pPr>
    </w:lvl>
    <w:lvl w:ilvl="5" w:tplc="000C24F6" w:tentative="1">
      <w:start w:val="1"/>
      <w:numFmt w:val="lowerRoman"/>
      <w:lvlText w:val="%6."/>
      <w:lvlJc w:val="right"/>
      <w:pPr>
        <w:ind w:left="4320" w:hanging="180"/>
      </w:pPr>
    </w:lvl>
    <w:lvl w:ilvl="6" w:tplc="4D7E5E86" w:tentative="1">
      <w:start w:val="1"/>
      <w:numFmt w:val="decimal"/>
      <w:lvlText w:val="%7."/>
      <w:lvlJc w:val="left"/>
      <w:pPr>
        <w:ind w:left="5040" w:hanging="360"/>
      </w:pPr>
    </w:lvl>
    <w:lvl w:ilvl="7" w:tplc="8D906494" w:tentative="1">
      <w:start w:val="1"/>
      <w:numFmt w:val="lowerLetter"/>
      <w:lvlText w:val="%8."/>
      <w:lvlJc w:val="left"/>
      <w:pPr>
        <w:ind w:left="5760" w:hanging="360"/>
      </w:pPr>
    </w:lvl>
    <w:lvl w:ilvl="8" w:tplc="F9DC19E6" w:tentative="1">
      <w:start w:val="1"/>
      <w:numFmt w:val="lowerRoman"/>
      <w:lvlText w:val="%9."/>
      <w:lvlJc w:val="right"/>
      <w:pPr>
        <w:ind w:left="6480" w:hanging="180"/>
      </w:pPr>
    </w:lvl>
  </w:abstractNum>
  <w:abstractNum w:abstractNumId="4" w15:restartNumberingAfterBreak="0">
    <w:nsid w:val="1E7933EC"/>
    <w:multiLevelType w:val="hybridMultilevel"/>
    <w:tmpl w:val="AD808D50"/>
    <w:lvl w:ilvl="0" w:tplc="A0C29910">
      <w:start w:val="1"/>
      <w:numFmt w:val="lowerLetter"/>
      <w:lvlText w:val="(%1)"/>
      <w:lvlJc w:val="left"/>
      <w:pPr>
        <w:ind w:left="720" w:hanging="360"/>
      </w:pPr>
      <w:rPr>
        <w:rFonts w:hint="default"/>
      </w:rPr>
    </w:lvl>
    <w:lvl w:ilvl="1" w:tplc="686C50CC" w:tentative="1">
      <w:start w:val="1"/>
      <w:numFmt w:val="lowerLetter"/>
      <w:lvlText w:val="%2."/>
      <w:lvlJc w:val="left"/>
      <w:pPr>
        <w:ind w:left="1440" w:hanging="360"/>
      </w:pPr>
    </w:lvl>
    <w:lvl w:ilvl="2" w:tplc="F47826F8" w:tentative="1">
      <w:start w:val="1"/>
      <w:numFmt w:val="lowerRoman"/>
      <w:lvlText w:val="%3."/>
      <w:lvlJc w:val="right"/>
      <w:pPr>
        <w:ind w:left="2160" w:hanging="180"/>
      </w:pPr>
    </w:lvl>
    <w:lvl w:ilvl="3" w:tplc="49C69432" w:tentative="1">
      <w:start w:val="1"/>
      <w:numFmt w:val="decimal"/>
      <w:lvlText w:val="%4."/>
      <w:lvlJc w:val="left"/>
      <w:pPr>
        <w:ind w:left="2880" w:hanging="360"/>
      </w:pPr>
    </w:lvl>
    <w:lvl w:ilvl="4" w:tplc="B832CB3A" w:tentative="1">
      <w:start w:val="1"/>
      <w:numFmt w:val="lowerLetter"/>
      <w:lvlText w:val="%5."/>
      <w:lvlJc w:val="left"/>
      <w:pPr>
        <w:ind w:left="3600" w:hanging="360"/>
      </w:pPr>
    </w:lvl>
    <w:lvl w:ilvl="5" w:tplc="FC9C8272" w:tentative="1">
      <w:start w:val="1"/>
      <w:numFmt w:val="lowerRoman"/>
      <w:lvlText w:val="%6."/>
      <w:lvlJc w:val="right"/>
      <w:pPr>
        <w:ind w:left="4320" w:hanging="180"/>
      </w:pPr>
    </w:lvl>
    <w:lvl w:ilvl="6" w:tplc="AF96A3BE" w:tentative="1">
      <w:start w:val="1"/>
      <w:numFmt w:val="decimal"/>
      <w:lvlText w:val="%7."/>
      <w:lvlJc w:val="left"/>
      <w:pPr>
        <w:ind w:left="5040" w:hanging="360"/>
      </w:pPr>
    </w:lvl>
    <w:lvl w:ilvl="7" w:tplc="302A2ABC" w:tentative="1">
      <w:start w:val="1"/>
      <w:numFmt w:val="lowerLetter"/>
      <w:lvlText w:val="%8."/>
      <w:lvlJc w:val="left"/>
      <w:pPr>
        <w:ind w:left="5760" w:hanging="360"/>
      </w:pPr>
    </w:lvl>
    <w:lvl w:ilvl="8" w:tplc="E2E07124" w:tentative="1">
      <w:start w:val="1"/>
      <w:numFmt w:val="lowerRoman"/>
      <w:lvlText w:val="%9."/>
      <w:lvlJc w:val="right"/>
      <w:pPr>
        <w:ind w:left="6480" w:hanging="180"/>
      </w:pPr>
    </w:lvl>
  </w:abstractNum>
  <w:abstractNum w:abstractNumId="5" w15:restartNumberingAfterBreak="0">
    <w:nsid w:val="1F3443F1"/>
    <w:multiLevelType w:val="hybridMultilevel"/>
    <w:tmpl w:val="DAD84400"/>
    <w:lvl w:ilvl="0" w:tplc="6F14BC6A">
      <w:start w:val="1"/>
      <w:numFmt w:val="lowerLetter"/>
      <w:lvlText w:val="(%1)"/>
      <w:lvlJc w:val="left"/>
      <w:pPr>
        <w:ind w:left="720" w:hanging="360"/>
      </w:pPr>
      <w:rPr>
        <w:rFonts w:hint="default"/>
      </w:rPr>
    </w:lvl>
    <w:lvl w:ilvl="1" w:tplc="B36243C6" w:tentative="1">
      <w:start w:val="1"/>
      <w:numFmt w:val="lowerLetter"/>
      <w:lvlText w:val="%2."/>
      <w:lvlJc w:val="left"/>
      <w:pPr>
        <w:ind w:left="1440" w:hanging="360"/>
      </w:pPr>
    </w:lvl>
    <w:lvl w:ilvl="2" w:tplc="5B0A2502" w:tentative="1">
      <w:start w:val="1"/>
      <w:numFmt w:val="lowerRoman"/>
      <w:lvlText w:val="%3."/>
      <w:lvlJc w:val="right"/>
      <w:pPr>
        <w:ind w:left="2160" w:hanging="180"/>
      </w:pPr>
    </w:lvl>
    <w:lvl w:ilvl="3" w:tplc="3BE663B6" w:tentative="1">
      <w:start w:val="1"/>
      <w:numFmt w:val="decimal"/>
      <w:lvlText w:val="%4."/>
      <w:lvlJc w:val="left"/>
      <w:pPr>
        <w:ind w:left="2880" w:hanging="360"/>
      </w:pPr>
    </w:lvl>
    <w:lvl w:ilvl="4" w:tplc="CFDA98C0" w:tentative="1">
      <w:start w:val="1"/>
      <w:numFmt w:val="lowerLetter"/>
      <w:lvlText w:val="%5."/>
      <w:lvlJc w:val="left"/>
      <w:pPr>
        <w:ind w:left="3600" w:hanging="360"/>
      </w:pPr>
    </w:lvl>
    <w:lvl w:ilvl="5" w:tplc="6DE8C5CC" w:tentative="1">
      <w:start w:val="1"/>
      <w:numFmt w:val="lowerRoman"/>
      <w:lvlText w:val="%6."/>
      <w:lvlJc w:val="right"/>
      <w:pPr>
        <w:ind w:left="4320" w:hanging="180"/>
      </w:pPr>
    </w:lvl>
    <w:lvl w:ilvl="6" w:tplc="D486CAC0" w:tentative="1">
      <w:start w:val="1"/>
      <w:numFmt w:val="decimal"/>
      <w:lvlText w:val="%7."/>
      <w:lvlJc w:val="left"/>
      <w:pPr>
        <w:ind w:left="5040" w:hanging="360"/>
      </w:pPr>
    </w:lvl>
    <w:lvl w:ilvl="7" w:tplc="CE287390" w:tentative="1">
      <w:start w:val="1"/>
      <w:numFmt w:val="lowerLetter"/>
      <w:lvlText w:val="%8."/>
      <w:lvlJc w:val="left"/>
      <w:pPr>
        <w:ind w:left="5760" w:hanging="360"/>
      </w:pPr>
    </w:lvl>
    <w:lvl w:ilvl="8" w:tplc="BD1EA3EE" w:tentative="1">
      <w:start w:val="1"/>
      <w:numFmt w:val="lowerRoman"/>
      <w:lvlText w:val="%9."/>
      <w:lvlJc w:val="right"/>
      <w:pPr>
        <w:ind w:left="6480" w:hanging="180"/>
      </w:pPr>
    </w:lvl>
  </w:abstractNum>
  <w:abstractNum w:abstractNumId="6" w15:restartNumberingAfterBreak="0">
    <w:nsid w:val="1F647A11"/>
    <w:multiLevelType w:val="hybridMultilevel"/>
    <w:tmpl w:val="621E8E6E"/>
    <w:lvl w:ilvl="0" w:tplc="BD3652EE">
      <w:start w:val="1"/>
      <w:numFmt w:val="bullet"/>
      <w:lvlText w:val=""/>
      <w:lvlJc w:val="left"/>
      <w:pPr>
        <w:ind w:left="720" w:hanging="360"/>
      </w:pPr>
      <w:rPr>
        <w:rFonts w:ascii="Symbol" w:hAnsi="Symbol" w:hint="default"/>
      </w:rPr>
    </w:lvl>
    <w:lvl w:ilvl="1" w:tplc="E3C4818A" w:tentative="1">
      <w:start w:val="1"/>
      <w:numFmt w:val="bullet"/>
      <w:lvlText w:val="o"/>
      <w:lvlJc w:val="left"/>
      <w:pPr>
        <w:ind w:left="1440" w:hanging="360"/>
      </w:pPr>
      <w:rPr>
        <w:rFonts w:ascii="Courier New" w:hAnsi="Courier New" w:cs="Courier New" w:hint="default"/>
      </w:rPr>
    </w:lvl>
    <w:lvl w:ilvl="2" w:tplc="336050A6" w:tentative="1">
      <w:start w:val="1"/>
      <w:numFmt w:val="bullet"/>
      <w:lvlText w:val=""/>
      <w:lvlJc w:val="left"/>
      <w:pPr>
        <w:ind w:left="2160" w:hanging="360"/>
      </w:pPr>
      <w:rPr>
        <w:rFonts w:ascii="Wingdings" w:hAnsi="Wingdings" w:hint="default"/>
      </w:rPr>
    </w:lvl>
    <w:lvl w:ilvl="3" w:tplc="5E207704" w:tentative="1">
      <w:start w:val="1"/>
      <w:numFmt w:val="bullet"/>
      <w:lvlText w:val=""/>
      <w:lvlJc w:val="left"/>
      <w:pPr>
        <w:ind w:left="2880" w:hanging="360"/>
      </w:pPr>
      <w:rPr>
        <w:rFonts w:ascii="Symbol" w:hAnsi="Symbol" w:hint="default"/>
      </w:rPr>
    </w:lvl>
    <w:lvl w:ilvl="4" w:tplc="4670943C" w:tentative="1">
      <w:start w:val="1"/>
      <w:numFmt w:val="bullet"/>
      <w:lvlText w:val="o"/>
      <w:lvlJc w:val="left"/>
      <w:pPr>
        <w:ind w:left="3600" w:hanging="360"/>
      </w:pPr>
      <w:rPr>
        <w:rFonts w:ascii="Courier New" w:hAnsi="Courier New" w:cs="Courier New" w:hint="default"/>
      </w:rPr>
    </w:lvl>
    <w:lvl w:ilvl="5" w:tplc="68C6DBC2" w:tentative="1">
      <w:start w:val="1"/>
      <w:numFmt w:val="bullet"/>
      <w:lvlText w:val=""/>
      <w:lvlJc w:val="left"/>
      <w:pPr>
        <w:ind w:left="4320" w:hanging="360"/>
      </w:pPr>
      <w:rPr>
        <w:rFonts w:ascii="Wingdings" w:hAnsi="Wingdings" w:hint="default"/>
      </w:rPr>
    </w:lvl>
    <w:lvl w:ilvl="6" w:tplc="4F8C238C" w:tentative="1">
      <w:start w:val="1"/>
      <w:numFmt w:val="bullet"/>
      <w:lvlText w:val=""/>
      <w:lvlJc w:val="left"/>
      <w:pPr>
        <w:ind w:left="5040" w:hanging="360"/>
      </w:pPr>
      <w:rPr>
        <w:rFonts w:ascii="Symbol" w:hAnsi="Symbol" w:hint="default"/>
      </w:rPr>
    </w:lvl>
    <w:lvl w:ilvl="7" w:tplc="253A9A0C" w:tentative="1">
      <w:start w:val="1"/>
      <w:numFmt w:val="bullet"/>
      <w:lvlText w:val="o"/>
      <w:lvlJc w:val="left"/>
      <w:pPr>
        <w:ind w:left="5760" w:hanging="360"/>
      </w:pPr>
      <w:rPr>
        <w:rFonts w:ascii="Courier New" w:hAnsi="Courier New" w:cs="Courier New" w:hint="default"/>
      </w:rPr>
    </w:lvl>
    <w:lvl w:ilvl="8" w:tplc="413AADDC" w:tentative="1">
      <w:start w:val="1"/>
      <w:numFmt w:val="bullet"/>
      <w:lvlText w:val=""/>
      <w:lvlJc w:val="left"/>
      <w:pPr>
        <w:ind w:left="6480" w:hanging="360"/>
      </w:pPr>
      <w:rPr>
        <w:rFonts w:ascii="Wingdings" w:hAnsi="Wingdings" w:hint="default"/>
      </w:rPr>
    </w:lvl>
  </w:abstractNum>
  <w:abstractNum w:abstractNumId="7" w15:restartNumberingAfterBreak="0">
    <w:nsid w:val="2B226BB5"/>
    <w:multiLevelType w:val="hybridMultilevel"/>
    <w:tmpl w:val="B0288BCE"/>
    <w:lvl w:ilvl="0" w:tplc="0FA6AE0C">
      <w:start w:val="1"/>
      <w:numFmt w:val="lowerLetter"/>
      <w:lvlText w:val="(%1)"/>
      <w:lvlJc w:val="left"/>
      <w:pPr>
        <w:ind w:left="720" w:hanging="360"/>
      </w:pPr>
      <w:rPr>
        <w:rFonts w:hint="default"/>
      </w:rPr>
    </w:lvl>
    <w:lvl w:ilvl="1" w:tplc="778A4792" w:tentative="1">
      <w:start w:val="1"/>
      <w:numFmt w:val="lowerLetter"/>
      <w:lvlText w:val="%2."/>
      <w:lvlJc w:val="left"/>
      <w:pPr>
        <w:ind w:left="1440" w:hanging="360"/>
      </w:pPr>
    </w:lvl>
    <w:lvl w:ilvl="2" w:tplc="26BEB71A" w:tentative="1">
      <w:start w:val="1"/>
      <w:numFmt w:val="lowerRoman"/>
      <w:lvlText w:val="%3."/>
      <w:lvlJc w:val="right"/>
      <w:pPr>
        <w:ind w:left="2160" w:hanging="180"/>
      </w:pPr>
    </w:lvl>
    <w:lvl w:ilvl="3" w:tplc="E0DCE0DC" w:tentative="1">
      <w:start w:val="1"/>
      <w:numFmt w:val="decimal"/>
      <w:lvlText w:val="%4."/>
      <w:lvlJc w:val="left"/>
      <w:pPr>
        <w:ind w:left="2880" w:hanging="360"/>
      </w:pPr>
    </w:lvl>
    <w:lvl w:ilvl="4" w:tplc="FDC8A744" w:tentative="1">
      <w:start w:val="1"/>
      <w:numFmt w:val="lowerLetter"/>
      <w:lvlText w:val="%5."/>
      <w:lvlJc w:val="left"/>
      <w:pPr>
        <w:ind w:left="3600" w:hanging="360"/>
      </w:pPr>
    </w:lvl>
    <w:lvl w:ilvl="5" w:tplc="6032BDD2" w:tentative="1">
      <w:start w:val="1"/>
      <w:numFmt w:val="lowerRoman"/>
      <w:lvlText w:val="%6."/>
      <w:lvlJc w:val="right"/>
      <w:pPr>
        <w:ind w:left="4320" w:hanging="180"/>
      </w:pPr>
    </w:lvl>
    <w:lvl w:ilvl="6" w:tplc="A740BB44" w:tentative="1">
      <w:start w:val="1"/>
      <w:numFmt w:val="decimal"/>
      <w:lvlText w:val="%7."/>
      <w:lvlJc w:val="left"/>
      <w:pPr>
        <w:ind w:left="5040" w:hanging="360"/>
      </w:pPr>
    </w:lvl>
    <w:lvl w:ilvl="7" w:tplc="8E12AA88" w:tentative="1">
      <w:start w:val="1"/>
      <w:numFmt w:val="lowerLetter"/>
      <w:lvlText w:val="%8."/>
      <w:lvlJc w:val="left"/>
      <w:pPr>
        <w:ind w:left="5760" w:hanging="360"/>
      </w:pPr>
    </w:lvl>
    <w:lvl w:ilvl="8" w:tplc="CD20ED6E" w:tentative="1">
      <w:start w:val="1"/>
      <w:numFmt w:val="lowerRoman"/>
      <w:lvlText w:val="%9."/>
      <w:lvlJc w:val="right"/>
      <w:pPr>
        <w:ind w:left="6480" w:hanging="180"/>
      </w:pPr>
    </w:lvl>
  </w:abstractNum>
  <w:abstractNum w:abstractNumId="8" w15:restartNumberingAfterBreak="0">
    <w:nsid w:val="2D26379A"/>
    <w:multiLevelType w:val="hybridMultilevel"/>
    <w:tmpl w:val="8FD6A018"/>
    <w:lvl w:ilvl="0" w:tplc="FA0A14EA">
      <w:start w:val="1"/>
      <w:numFmt w:val="bullet"/>
      <w:lvlText w:val="o"/>
      <w:lvlJc w:val="left"/>
      <w:pPr>
        <w:ind w:left="720" w:hanging="360"/>
      </w:pPr>
      <w:rPr>
        <w:rFonts w:ascii="Courier New" w:hAnsi="Courier New" w:cs="Courier New" w:hint="default"/>
      </w:rPr>
    </w:lvl>
    <w:lvl w:ilvl="1" w:tplc="D6C60F3E" w:tentative="1">
      <w:start w:val="1"/>
      <w:numFmt w:val="bullet"/>
      <w:lvlText w:val="o"/>
      <w:lvlJc w:val="left"/>
      <w:pPr>
        <w:ind w:left="1440" w:hanging="360"/>
      </w:pPr>
      <w:rPr>
        <w:rFonts w:ascii="Courier New" w:hAnsi="Courier New" w:cs="Courier New" w:hint="default"/>
      </w:rPr>
    </w:lvl>
    <w:lvl w:ilvl="2" w:tplc="0E3444CE" w:tentative="1">
      <w:start w:val="1"/>
      <w:numFmt w:val="bullet"/>
      <w:lvlText w:val=""/>
      <w:lvlJc w:val="left"/>
      <w:pPr>
        <w:ind w:left="2160" w:hanging="360"/>
      </w:pPr>
      <w:rPr>
        <w:rFonts w:ascii="Wingdings" w:hAnsi="Wingdings" w:hint="default"/>
      </w:rPr>
    </w:lvl>
    <w:lvl w:ilvl="3" w:tplc="022E0B8E" w:tentative="1">
      <w:start w:val="1"/>
      <w:numFmt w:val="bullet"/>
      <w:lvlText w:val=""/>
      <w:lvlJc w:val="left"/>
      <w:pPr>
        <w:ind w:left="2880" w:hanging="360"/>
      </w:pPr>
      <w:rPr>
        <w:rFonts w:ascii="Symbol" w:hAnsi="Symbol" w:hint="default"/>
      </w:rPr>
    </w:lvl>
    <w:lvl w:ilvl="4" w:tplc="B7445E26" w:tentative="1">
      <w:start w:val="1"/>
      <w:numFmt w:val="bullet"/>
      <w:lvlText w:val="o"/>
      <w:lvlJc w:val="left"/>
      <w:pPr>
        <w:ind w:left="3600" w:hanging="360"/>
      </w:pPr>
      <w:rPr>
        <w:rFonts w:ascii="Courier New" w:hAnsi="Courier New" w:cs="Courier New" w:hint="default"/>
      </w:rPr>
    </w:lvl>
    <w:lvl w:ilvl="5" w:tplc="4EF0A710" w:tentative="1">
      <w:start w:val="1"/>
      <w:numFmt w:val="bullet"/>
      <w:lvlText w:val=""/>
      <w:lvlJc w:val="left"/>
      <w:pPr>
        <w:ind w:left="4320" w:hanging="360"/>
      </w:pPr>
      <w:rPr>
        <w:rFonts w:ascii="Wingdings" w:hAnsi="Wingdings" w:hint="default"/>
      </w:rPr>
    </w:lvl>
    <w:lvl w:ilvl="6" w:tplc="9D10157A" w:tentative="1">
      <w:start w:val="1"/>
      <w:numFmt w:val="bullet"/>
      <w:lvlText w:val=""/>
      <w:lvlJc w:val="left"/>
      <w:pPr>
        <w:ind w:left="5040" w:hanging="360"/>
      </w:pPr>
      <w:rPr>
        <w:rFonts w:ascii="Symbol" w:hAnsi="Symbol" w:hint="default"/>
      </w:rPr>
    </w:lvl>
    <w:lvl w:ilvl="7" w:tplc="5B485C06" w:tentative="1">
      <w:start w:val="1"/>
      <w:numFmt w:val="bullet"/>
      <w:lvlText w:val="o"/>
      <w:lvlJc w:val="left"/>
      <w:pPr>
        <w:ind w:left="5760" w:hanging="360"/>
      </w:pPr>
      <w:rPr>
        <w:rFonts w:ascii="Courier New" w:hAnsi="Courier New" w:cs="Courier New" w:hint="default"/>
      </w:rPr>
    </w:lvl>
    <w:lvl w:ilvl="8" w:tplc="ECC26BF4" w:tentative="1">
      <w:start w:val="1"/>
      <w:numFmt w:val="bullet"/>
      <w:lvlText w:val=""/>
      <w:lvlJc w:val="left"/>
      <w:pPr>
        <w:ind w:left="6480" w:hanging="360"/>
      </w:pPr>
      <w:rPr>
        <w:rFonts w:ascii="Wingdings" w:hAnsi="Wingdings" w:hint="default"/>
      </w:rPr>
    </w:lvl>
  </w:abstractNum>
  <w:abstractNum w:abstractNumId="9" w15:restartNumberingAfterBreak="0">
    <w:nsid w:val="35484C8D"/>
    <w:multiLevelType w:val="hybridMultilevel"/>
    <w:tmpl w:val="E9589C94"/>
    <w:lvl w:ilvl="0" w:tplc="CA84A79E">
      <w:start w:val="1"/>
      <w:numFmt w:val="lowerLetter"/>
      <w:lvlText w:val="(%1)"/>
      <w:lvlJc w:val="left"/>
      <w:pPr>
        <w:ind w:left="720" w:hanging="360"/>
      </w:pPr>
      <w:rPr>
        <w:rFonts w:hint="default"/>
      </w:rPr>
    </w:lvl>
    <w:lvl w:ilvl="1" w:tplc="09DCBD7C" w:tentative="1">
      <w:start w:val="1"/>
      <w:numFmt w:val="lowerLetter"/>
      <w:lvlText w:val="%2."/>
      <w:lvlJc w:val="left"/>
      <w:pPr>
        <w:ind w:left="1440" w:hanging="360"/>
      </w:pPr>
    </w:lvl>
    <w:lvl w:ilvl="2" w:tplc="DB74B370" w:tentative="1">
      <w:start w:val="1"/>
      <w:numFmt w:val="lowerRoman"/>
      <w:lvlText w:val="%3."/>
      <w:lvlJc w:val="right"/>
      <w:pPr>
        <w:ind w:left="2160" w:hanging="180"/>
      </w:pPr>
    </w:lvl>
    <w:lvl w:ilvl="3" w:tplc="658659A6" w:tentative="1">
      <w:start w:val="1"/>
      <w:numFmt w:val="decimal"/>
      <w:lvlText w:val="%4."/>
      <w:lvlJc w:val="left"/>
      <w:pPr>
        <w:ind w:left="2880" w:hanging="360"/>
      </w:pPr>
    </w:lvl>
    <w:lvl w:ilvl="4" w:tplc="8A72B6D6" w:tentative="1">
      <w:start w:val="1"/>
      <w:numFmt w:val="lowerLetter"/>
      <w:lvlText w:val="%5."/>
      <w:lvlJc w:val="left"/>
      <w:pPr>
        <w:ind w:left="3600" w:hanging="360"/>
      </w:pPr>
    </w:lvl>
    <w:lvl w:ilvl="5" w:tplc="DF5C522C" w:tentative="1">
      <w:start w:val="1"/>
      <w:numFmt w:val="lowerRoman"/>
      <w:lvlText w:val="%6."/>
      <w:lvlJc w:val="right"/>
      <w:pPr>
        <w:ind w:left="4320" w:hanging="180"/>
      </w:pPr>
    </w:lvl>
    <w:lvl w:ilvl="6" w:tplc="B9D4B306" w:tentative="1">
      <w:start w:val="1"/>
      <w:numFmt w:val="decimal"/>
      <w:lvlText w:val="%7."/>
      <w:lvlJc w:val="left"/>
      <w:pPr>
        <w:ind w:left="5040" w:hanging="360"/>
      </w:pPr>
    </w:lvl>
    <w:lvl w:ilvl="7" w:tplc="9D94C9A0" w:tentative="1">
      <w:start w:val="1"/>
      <w:numFmt w:val="lowerLetter"/>
      <w:lvlText w:val="%8."/>
      <w:lvlJc w:val="left"/>
      <w:pPr>
        <w:ind w:left="5760" w:hanging="360"/>
      </w:pPr>
    </w:lvl>
    <w:lvl w:ilvl="8" w:tplc="856E4B44" w:tentative="1">
      <w:start w:val="1"/>
      <w:numFmt w:val="lowerRoman"/>
      <w:lvlText w:val="%9."/>
      <w:lvlJc w:val="right"/>
      <w:pPr>
        <w:ind w:left="6480" w:hanging="180"/>
      </w:pPr>
    </w:lvl>
  </w:abstractNum>
  <w:abstractNum w:abstractNumId="10" w15:restartNumberingAfterBreak="0">
    <w:nsid w:val="36A04B72"/>
    <w:multiLevelType w:val="hybridMultilevel"/>
    <w:tmpl w:val="AD808D50"/>
    <w:lvl w:ilvl="0" w:tplc="93DAC042">
      <w:start w:val="1"/>
      <w:numFmt w:val="lowerLetter"/>
      <w:lvlText w:val="(%1)"/>
      <w:lvlJc w:val="left"/>
      <w:pPr>
        <w:ind w:left="720" w:hanging="360"/>
      </w:pPr>
      <w:rPr>
        <w:rFonts w:hint="default"/>
      </w:rPr>
    </w:lvl>
    <w:lvl w:ilvl="1" w:tplc="58727C0E" w:tentative="1">
      <w:start w:val="1"/>
      <w:numFmt w:val="lowerLetter"/>
      <w:lvlText w:val="%2."/>
      <w:lvlJc w:val="left"/>
      <w:pPr>
        <w:ind w:left="1440" w:hanging="360"/>
      </w:pPr>
    </w:lvl>
    <w:lvl w:ilvl="2" w:tplc="B0DA2084" w:tentative="1">
      <w:start w:val="1"/>
      <w:numFmt w:val="lowerRoman"/>
      <w:lvlText w:val="%3."/>
      <w:lvlJc w:val="right"/>
      <w:pPr>
        <w:ind w:left="2160" w:hanging="180"/>
      </w:pPr>
    </w:lvl>
    <w:lvl w:ilvl="3" w:tplc="DAD01C1A" w:tentative="1">
      <w:start w:val="1"/>
      <w:numFmt w:val="decimal"/>
      <w:lvlText w:val="%4."/>
      <w:lvlJc w:val="left"/>
      <w:pPr>
        <w:ind w:left="2880" w:hanging="360"/>
      </w:pPr>
    </w:lvl>
    <w:lvl w:ilvl="4" w:tplc="7F64C49C" w:tentative="1">
      <w:start w:val="1"/>
      <w:numFmt w:val="lowerLetter"/>
      <w:lvlText w:val="%5."/>
      <w:lvlJc w:val="left"/>
      <w:pPr>
        <w:ind w:left="3600" w:hanging="360"/>
      </w:pPr>
    </w:lvl>
    <w:lvl w:ilvl="5" w:tplc="4CFA7C48" w:tentative="1">
      <w:start w:val="1"/>
      <w:numFmt w:val="lowerRoman"/>
      <w:lvlText w:val="%6."/>
      <w:lvlJc w:val="right"/>
      <w:pPr>
        <w:ind w:left="4320" w:hanging="180"/>
      </w:pPr>
    </w:lvl>
    <w:lvl w:ilvl="6" w:tplc="474A6224" w:tentative="1">
      <w:start w:val="1"/>
      <w:numFmt w:val="decimal"/>
      <w:lvlText w:val="%7."/>
      <w:lvlJc w:val="left"/>
      <w:pPr>
        <w:ind w:left="5040" w:hanging="360"/>
      </w:pPr>
    </w:lvl>
    <w:lvl w:ilvl="7" w:tplc="7464B00E" w:tentative="1">
      <w:start w:val="1"/>
      <w:numFmt w:val="lowerLetter"/>
      <w:lvlText w:val="%8."/>
      <w:lvlJc w:val="left"/>
      <w:pPr>
        <w:ind w:left="5760" w:hanging="360"/>
      </w:pPr>
    </w:lvl>
    <w:lvl w:ilvl="8" w:tplc="7DFA85B2" w:tentative="1">
      <w:start w:val="1"/>
      <w:numFmt w:val="lowerRoman"/>
      <w:lvlText w:val="%9."/>
      <w:lvlJc w:val="right"/>
      <w:pPr>
        <w:ind w:left="6480" w:hanging="180"/>
      </w:pPr>
    </w:lvl>
  </w:abstractNum>
  <w:abstractNum w:abstractNumId="11" w15:restartNumberingAfterBreak="0">
    <w:nsid w:val="3D5641C3"/>
    <w:multiLevelType w:val="hybridMultilevel"/>
    <w:tmpl w:val="4210F486"/>
    <w:lvl w:ilvl="0" w:tplc="862CAD5C">
      <w:start w:val="1"/>
      <w:numFmt w:val="decimal"/>
      <w:pStyle w:val="Heading3bold"/>
      <w:lvlText w:val="%1"/>
      <w:lvlJc w:val="left"/>
      <w:pPr>
        <w:ind w:left="360" w:hanging="360"/>
      </w:pPr>
      <w:rPr>
        <w:rFonts w:hint="default"/>
        <w:color w:val="auto"/>
      </w:rPr>
    </w:lvl>
    <w:lvl w:ilvl="1" w:tplc="27427DC8" w:tentative="1">
      <w:start w:val="1"/>
      <w:numFmt w:val="lowerLetter"/>
      <w:lvlText w:val="%2."/>
      <w:lvlJc w:val="left"/>
      <w:pPr>
        <w:ind w:left="-3805" w:hanging="360"/>
      </w:pPr>
    </w:lvl>
    <w:lvl w:ilvl="2" w:tplc="EE8C37AE" w:tentative="1">
      <w:start w:val="1"/>
      <w:numFmt w:val="lowerRoman"/>
      <w:lvlText w:val="%3."/>
      <w:lvlJc w:val="right"/>
      <w:pPr>
        <w:ind w:left="-3085" w:hanging="180"/>
      </w:pPr>
    </w:lvl>
    <w:lvl w:ilvl="3" w:tplc="63065356" w:tentative="1">
      <w:start w:val="1"/>
      <w:numFmt w:val="decimal"/>
      <w:lvlText w:val="%4."/>
      <w:lvlJc w:val="left"/>
      <w:pPr>
        <w:ind w:left="-2365" w:hanging="360"/>
      </w:pPr>
    </w:lvl>
    <w:lvl w:ilvl="4" w:tplc="8FB0C3E6" w:tentative="1">
      <w:start w:val="1"/>
      <w:numFmt w:val="lowerLetter"/>
      <w:lvlText w:val="%5."/>
      <w:lvlJc w:val="left"/>
      <w:pPr>
        <w:ind w:left="-1645" w:hanging="360"/>
      </w:pPr>
    </w:lvl>
    <w:lvl w:ilvl="5" w:tplc="FDE265B0" w:tentative="1">
      <w:start w:val="1"/>
      <w:numFmt w:val="lowerRoman"/>
      <w:lvlText w:val="%6."/>
      <w:lvlJc w:val="right"/>
      <w:pPr>
        <w:ind w:left="-925" w:hanging="180"/>
      </w:pPr>
    </w:lvl>
    <w:lvl w:ilvl="6" w:tplc="A66610C4" w:tentative="1">
      <w:start w:val="1"/>
      <w:numFmt w:val="decimal"/>
      <w:lvlText w:val="%7."/>
      <w:lvlJc w:val="left"/>
      <w:pPr>
        <w:ind w:left="-205" w:hanging="360"/>
      </w:pPr>
    </w:lvl>
    <w:lvl w:ilvl="7" w:tplc="92CC4186" w:tentative="1">
      <w:start w:val="1"/>
      <w:numFmt w:val="lowerLetter"/>
      <w:lvlText w:val="%8."/>
      <w:lvlJc w:val="left"/>
      <w:pPr>
        <w:ind w:left="515" w:hanging="360"/>
      </w:pPr>
    </w:lvl>
    <w:lvl w:ilvl="8" w:tplc="058E6886" w:tentative="1">
      <w:start w:val="1"/>
      <w:numFmt w:val="lowerRoman"/>
      <w:lvlText w:val="%9."/>
      <w:lvlJc w:val="right"/>
      <w:pPr>
        <w:ind w:left="1235" w:hanging="180"/>
      </w:pPr>
    </w:lvl>
  </w:abstractNum>
  <w:abstractNum w:abstractNumId="12" w15:restartNumberingAfterBreak="0">
    <w:nsid w:val="4E5F5B95"/>
    <w:multiLevelType w:val="hybridMultilevel"/>
    <w:tmpl w:val="30405292"/>
    <w:lvl w:ilvl="0" w:tplc="1CCC3A80">
      <w:start w:val="1"/>
      <w:numFmt w:val="lowerLetter"/>
      <w:lvlText w:val="(%1)"/>
      <w:lvlJc w:val="left"/>
      <w:pPr>
        <w:ind w:left="720" w:hanging="360"/>
      </w:pPr>
      <w:rPr>
        <w:rFonts w:hint="default"/>
      </w:rPr>
    </w:lvl>
    <w:lvl w:ilvl="1" w:tplc="8B8285AE" w:tentative="1">
      <w:start w:val="1"/>
      <w:numFmt w:val="lowerLetter"/>
      <w:lvlText w:val="%2."/>
      <w:lvlJc w:val="left"/>
      <w:pPr>
        <w:ind w:left="1440" w:hanging="360"/>
      </w:pPr>
    </w:lvl>
    <w:lvl w:ilvl="2" w:tplc="FE5EFAD2" w:tentative="1">
      <w:start w:val="1"/>
      <w:numFmt w:val="lowerRoman"/>
      <w:lvlText w:val="%3."/>
      <w:lvlJc w:val="right"/>
      <w:pPr>
        <w:ind w:left="2160" w:hanging="180"/>
      </w:pPr>
    </w:lvl>
    <w:lvl w:ilvl="3" w:tplc="F8521BAE" w:tentative="1">
      <w:start w:val="1"/>
      <w:numFmt w:val="decimal"/>
      <w:lvlText w:val="%4."/>
      <w:lvlJc w:val="left"/>
      <w:pPr>
        <w:ind w:left="2880" w:hanging="360"/>
      </w:pPr>
    </w:lvl>
    <w:lvl w:ilvl="4" w:tplc="49BE7BF0" w:tentative="1">
      <w:start w:val="1"/>
      <w:numFmt w:val="lowerLetter"/>
      <w:lvlText w:val="%5."/>
      <w:lvlJc w:val="left"/>
      <w:pPr>
        <w:ind w:left="3600" w:hanging="360"/>
      </w:pPr>
    </w:lvl>
    <w:lvl w:ilvl="5" w:tplc="45C40770" w:tentative="1">
      <w:start w:val="1"/>
      <w:numFmt w:val="lowerRoman"/>
      <w:lvlText w:val="%6."/>
      <w:lvlJc w:val="right"/>
      <w:pPr>
        <w:ind w:left="4320" w:hanging="180"/>
      </w:pPr>
    </w:lvl>
    <w:lvl w:ilvl="6" w:tplc="9E1E663C" w:tentative="1">
      <w:start w:val="1"/>
      <w:numFmt w:val="decimal"/>
      <w:lvlText w:val="%7."/>
      <w:lvlJc w:val="left"/>
      <w:pPr>
        <w:ind w:left="5040" w:hanging="360"/>
      </w:pPr>
    </w:lvl>
    <w:lvl w:ilvl="7" w:tplc="98A0C46E" w:tentative="1">
      <w:start w:val="1"/>
      <w:numFmt w:val="lowerLetter"/>
      <w:lvlText w:val="%8."/>
      <w:lvlJc w:val="left"/>
      <w:pPr>
        <w:ind w:left="5760" w:hanging="360"/>
      </w:pPr>
    </w:lvl>
    <w:lvl w:ilvl="8" w:tplc="4714423E" w:tentative="1">
      <w:start w:val="1"/>
      <w:numFmt w:val="lowerRoman"/>
      <w:lvlText w:val="%9."/>
      <w:lvlJc w:val="right"/>
      <w:pPr>
        <w:ind w:left="6480" w:hanging="180"/>
      </w:pPr>
    </w:lvl>
  </w:abstractNum>
  <w:abstractNum w:abstractNumId="13" w15:restartNumberingAfterBreak="0">
    <w:nsid w:val="560F4DED"/>
    <w:multiLevelType w:val="hybridMultilevel"/>
    <w:tmpl w:val="9614140C"/>
    <w:lvl w:ilvl="0" w:tplc="A2C4BDD6">
      <w:start w:val="1"/>
      <w:numFmt w:val="bullet"/>
      <w:lvlText w:val=""/>
      <w:lvlJc w:val="left"/>
      <w:pPr>
        <w:ind w:left="720" w:hanging="360"/>
      </w:pPr>
      <w:rPr>
        <w:rFonts w:ascii="Symbol" w:hAnsi="Symbol" w:hint="default"/>
      </w:rPr>
    </w:lvl>
    <w:lvl w:ilvl="1" w:tplc="76365496" w:tentative="1">
      <w:start w:val="1"/>
      <w:numFmt w:val="bullet"/>
      <w:lvlText w:val="o"/>
      <w:lvlJc w:val="left"/>
      <w:pPr>
        <w:ind w:left="1440" w:hanging="360"/>
      </w:pPr>
      <w:rPr>
        <w:rFonts w:ascii="Courier New" w:hAnsi="Courier New" w:cs="Courier New" w:hint="default"/>
      </w:rPr>
    </w:lvl>
    <w:lvl w:ilvl="2" w:tplc="7F94B664" w:tentative="1">
      <w:start w:val="1"/>
      <w:numFmt w:val="bullet"/>
      <w:lvlText w:val=""/>
      <w:lvlJc w:val="left"/>
      <w:pPr>
        <w:ind w:left="2160" w:hanging="360"/>
      </w:pPr>
      <w:rPr>
        <w:rFonts w:ascii="Wingdings" w:hAnsi="Wingdings" w:hint="default"/>
      </w:rPr>
    </w:lvl>
    <w:lvl w:ilvl="3" w:tplc="98987934" w:tentative="1">
      <w:start w:val="1"/>
      <w:numFmt w:val="bullet"/>
      <w:lvlText w:val=""/>
      <w:lvlJc w:val="left"/>
      <w:pPr>
        <w:ind w:left="2880" w:hanging="360"/>
      </w:pPr>
      <w:rPr>
        <w:rFonts w:ascii="Symbol" w:hAnsi="Symbol" w:hint="default"/>
      </w:rPr>
    </w:lvl>
    <w:lvl w:ilvl="4" w:tplc="5B067B32" w:tentative="1">
      <w:start w:val="1"/>
      <w:numFmt w:val="bullet"/>
      <w:lvlText w:val="o"/>
      <w:lvlJc w:val="left"/>
      <w:pPr>
        <w:ind w:left="3600" w:hanging="360"/>
      </w:pPr>
      <w:rPr>
        <w:rFonts w:ascii="Courier New" w:hAnsi="Courier New" w:cs="Courier New" w:hint="default"/>
      </w:rPr>
    </w:lvl>
    <w:lvl w:ilvl="5" w:tplc="C2ACBA84" w:tentative="1">
      <w:start w:val="1"/>
      <w:numFmt w:val="bullet"/>
      <w:lvlText w:val=""/>
      <w:lvlJc w:val="left"/>
      <w:pPr>
        <w:ind w:left="4320" w:hanging="360"/>
      </w:pPr>
      <w:rPr>
        <w:rFonts w:ascii="Wingdings" w:hAnsi="Wingdings" w:hint="default"/>
      </w:rPr>
    </w:lvl>
    <w:lvl w:ilvl="6" w:tplc="DB38B10C" w:tentative="1">
      <w:start w:val="1"/>
      <w:numFmt w:val="bullet"/>
      <w:lvlText w:val=""/>
      <w:lvlJc w:val="left"/>
      <w:pPr>
        <w:ind w:left="5040" w:hanging="360"/>
      </w:pPr>
      <w:rPr>
        <w:rFonts w:ascii="Symbol" w:hAnsi="Symbol" w:hint="default"/>
      </w:rPr>
    </w:lvl>
    <w:lvl w:ilvl="7" w:tplc="B03A473E" w:tentative="1">
      <w:start w:val="1"/>
      <w:numFmt w:val="bullet"/>
      <w:lvlText w:val="o"/>
      <w:lvlJc w:val="left"/>
      <w:pPr>
        <w:ind w:left="5760" w:hanging="360"/>
      </w:pPr>
      <w:rPr>
        <w:rFonts w:ascii="Courier New" w:hAnsi="Courier New" w:cs="Courier New" w:hint="default"/>
      </w:rPr>
    </w:lvl>
    <w:lvl w:ilvl="8" w:tplc="91B8D676" w:tentative="1">
      <w:start w:val="1"/>
      <w:numFmt w:val="bullet"/>
      <w:lvlText w:val=""/>
      <w:lvlJc w:val="left"/>
      <w:pPr>
        <w:ind w:left="6480" w:hanging="360"/>
      </w:pPr>
      <w:rPr>
        <w:rFonts w:ascii="Wingdings" w:hAnsi="Wingdings" w:hint="default"/>
      </w:rPr>
    </w:lvl>
  </w:abstractNum>
  <w:abstractNum w:abstractNumId="14" w15:restartNumberingAfterBreak="0">
    <w:nsid w:val="619962F8"/>
    <w:multiLevelType w:val="hybridMultilevel"/>
    <w:tmpl w:val="DA76916A"/>
    <w:lvl w:ilvl="0" w:tplc="D6761C24">
      <w:start w:val="1"/>
      <w:numFmt w:val="decimal"/>
      <w:lvlText w:val="%1."/>
      <w:lvlJc w:val="left"/>
      <w:pPr>
        <w:ind w:left="720" w:hanging="360"/>
      </w:pPr>
      <w:rPr>
        <w:rFonts w:hint="default"/>
      </w:rPr>
    </w:lvl>
    <w:lvl w:ilvl="1" w:tplc="F7D68F52" w:tentative="1">
      <w:start w:val="1"/>
      <w:numFmt w:val="lowerLetter"/>
      <w:lvlText w:val="%2."/>
      <w:lvlJc w:val="left"/>
      <w:pPr>
        <w:ind w:left="1440" w:hanging="360"/>
      </w:pPr>
    </w:lvl>
    <w:lvl w:ilvl="2" w:tplc="BC1058BA" w:tentative="1">
      <w:start w:val="1"/>
      <w:numFmt w:val="lowerRoman"/>
      <w:lvlText w:val="%3."/>
      <w:lvlJc w:val="right"/>
      <w:pPr>
        <w:ind w:left="2160" w:hanging="180"/>
      </w:pPr>
    </w:lvl>
    <w:lvl w:ilvl="3" w:tplc="52F03538" w:tentative="1">
      <w:start w:val="1"/>
      <w:numFmt w:val="decimal"/>
      <w:lvlText w:val="%4."/>
      <w:lvlJc w:val="left"/>
      <w:pPr>
        <w:ind w:left="2880" w:hanging="360"/>
      </w:pPr>
    </w:lvl>
    <w:lvl w:ilvl="4" w:tplc="18745BCA" w:tentative="1">
      <w:start w:val="1"/>
      <w:numFmt w:val="lowerLetter"/>
      <w:lvlText w:val="%5."/>
      <w:lvlJc w:val="left"/>
      <w:pPr>
        <w:ind w:left="3600" w:hanging="360"/>
      </w:pPr>
    </w:lvl>
    <w:lvl w:ilvl="5" w:tplc="DB76DEFE" w:tentative="1">
      <w:start w:val="1"/>
      <w:numFmt w:val="lowerRoman"/>
      <w:lvlText w:val="%6."/>
      <w:lvlJc w:val="right"/>
      <w:pPr>
        <w:ind w:left="4320" w:hanging="180"/>
      </w:pPr>
    </w:lvl>
    <w:lvl w:ilvl="6" w:tplc="3A263976" w:tentative="1">
      <w:start w:val="1"/>
      <w:numFmt w:val="decimal"/>
      <w:lvlText w:val="%7."/>
      <w:lvlJc w:val="left"/>
      <w:pPr>
        <w:ind w:left="5040" w:hanging="360"/>
      </w:pPr>
    </w:lvl>
    <w:lvl w:ilvl="7" w:tplc="B8A8840E" w:tentative="1">
      <w:start w:val="1"/>
      <w:numFmt w:val="lowerLetter"/>
      <w:lvlText w:val="%8."/>
      <w:lvlJc w:val="left"/>
      <w:pPr>
        <w:ind w:left="5760" w:hanging="360"/>
      </w:pPr>
    </w:lvl>
    <w:lvl w:ilvl="8" w:tplc="874AC2A8" w:tentative="1">
      <w:start w:val="1"/>
      <w:numFmt w:val="lowerRoman"/>
      <w:lvlText w:val="%9."/>
      <w:lvlJc w:val="right"/>
      <w:pPr>
        <w:ind w:left="6480" w:hanging="180"/>
      </w:pPr>
    </w:lvl>
  </w:abstractNum>
  <w:abstractNum w:abstractNumId="15" w15:restartNumberingAfterBreak="0">
    <w:nsid w:val="73C76F63"/>
    <w:multiLevelType w:val="hybridMultilevel"/>
    <w:tmpl w:val="EA6A860C"/>
    <w:lvl w:ilvl="0" w:tplc="7110FFC2">
      <w:start w:val="1"/>
      <w:numFmt w:val="bullet"/>
      <w:lvlText w:val="o"/>
      <w:lvlJc w:val="left"/>
      <w:pPr>
        <w:ind w:left="720" w:hanging="360"/>
      </w:pPr>
      <w:rPr>
        <w:rFonts w:ascii="Courier New" w:hAnsi="Courier New" w:cs="Courier New" w:hint="default"/>
      </w:rPr>
    </w:lvl>
    <w:lvl w:ilvl="1" w:tplc="7C16D6D2" w:tentative="1">
      <w:start w:val="1"/>
      <w:numFmt w:val="bullet"/>
      <w:lvlText w:val="o"/>
      <w:lvlJc w:val="left"/>
      <w:pPr>
        <w:ind w:left="1440" w:hanging="360"/>
      </w:pPr>
      <w:rPr>
        <w:rFonts w:ascii="Courier New" w:hAnsi="Courier New" w:cs="Courier New" w:hint="default"/>
      </w:rPr>
    </w:lvl>
    <w:lvl w:ilvl="2" w:tplc="E864C9AC" w:tentative="1">
      <w:start w:val="1"/>
      <w:numFmt w:val="bullet"/>
      <w:lvlText w:val=""/>
      <w:lvlJc w:val="left"/>
      <w:pPr>
        <w:ind w:left="2160" w:hanging="360"/>
      </w:pPr>
      <w:rPr>
        <w:rFonts w:ascii="Wingdings" w:hAnsi="Wingdings" w:hint="default"/>
      </w:rPr>
    </w:lvl>
    <w:lvl w:ilvl="3" w:tplc="4B161C52" w:tentative="1">
      <w:start w:val="1"/>
      <w:numFmt w:val="bullet"/>
      <w:lvlText w:val=""/>
      <w:lvlJc w:val="left"/>
      <w:pPr>
        <w:ind w:left="2880" w:hanging="360"/>
      </w:pPr>
      <w:rPr>
        <w:rFonts w:ascii="Symbol" w:hAnsi="Symbol" w:hint="default"/>
      </w:rPr>
    </w:lvl>
    <w:lvl w:ilvl="4" w:tplc="F0ACB250" w:tentative="1">
      <w:start w:val="1"/>
      <w:numFmt w:val="bullet"/>
      <w:lvlText w:val="o"/>
      <w:lvlJc w:val="left"/>
      <w:pPr>
        <w:ind w:left="3600" w:hanging="360"/>
      </w:pPr>
      <w:rPr>
        <w:rFonts w:ascii="Courier New" w:hAnsi="Courier New" w:cs="Courier New" w:hint="default"/>
      </w:rPr>
    </w:lvl>
    <w:lvl w:ilvl="5" w:tplc="389880FC" w:tentative="1">
      <w:start w:val="1"/>
      <w:numFmt w:val="bullet"/>
      <w:lvlText w:val=""/>
      <w:lvlJc w:val="left"/>
      <w:pPr>
        <w:ind w:left="4320" w:hanging="360"/>
      </w:pPr>
      <w:rPr>
        <w:rFonts w:ascii="Wingdings" w:hAnsi="Wingdings" w:hint="default"/>
      </w:rPr>
    </w:lvl>
    <w:lvl w:ilvl="6" w:tplc="DDF0E138" w:tentative="1">
      <w:start w:val="1"/>
      <w:numFmt w:val="bullet"/>
      <w:lvlText w:val=""/>
      <w:lvlJc w:val="left"/>
      <w:pPr>
        <w:ind w:left="5040" w:hanging="360"/>
      </w:pPr>
      <w:rPr>
        <w:rFonts w:ascii="Symbol" w:hAnsi="Symbol" w:hint="default"/>
      </w:rPr>
    </w:lvl>
    <w:lvl w:ilvl="7" w:tplc="BF6E5E00" w:tentative="1">
      <w:start w:val="1"/>
      <w:numFmt w:val="bullet"/>
      <w:lvlText w:val="o"/>
      <w:lvlJc w:val="left"/>
      <w:pPr>
        <w:ind w:left="5760" w:hanging="360"/>
      </w:pPr>
      <w:rPr>
        <w:rFonts w:ascii="Courier New" w:hAnsi="Courier New" w:cs="Courier New" w:hint="default"/>
      </w:rPr>
    </w:lvl>
    <w:lvl w:ilvl="8" w:tplc="8084C334" w:tentative="1">
      <w:start w:val="1"/>
      <w:numFmt w:val="bullet"/>
      <w:lvlText w:val=""/>
      <w:lvlJc w:val="left"/>
      <w:pPr>
        <w:ind w:left="6480" w:hanging="360"/>
      </w:pPr>
      <w:rPr>
        <w:rFonts w:ascii="Wingdings" w:hAnsi="Wingdings" w:hint="default"/>
      </w:rPr>
    </w:lvl>
  </w:abstractNum>
  <w:abstractNum w:abstractNumId="16" w15:restartNumberingAfterBreak="0">
    <w:nsid w:val="775006E2"/>
    <w:multiLevelType w:val="hybridMultilevel"/>
    <w:tmpl w:val="81B0A066"/>
    <w:lvl w:ilvl="0" w:tplc="4F98DD88">
      <w:start w:val="1"/>
      <w:numFmt w:val="bullet"/>
      <w:lvlText w:val="o"/>
      <w:lvlJc w:val="left"/>
      <w:pPr>
        <w:ind w:left="720" w:hanging="360"/>
      </w:pPr>
      <w:rPr>
        <w:rFonts w:ascii="Courier New" w:hAnsi="Courier New" w:cs="Courier New" w:hint="default"/>
      </w:rPr>
    </w:lvl>
    <w:lvl w:ilvl="1" w:tplc="27D6A680" w:tentative="1">
      <w:start w:val="1"/>
      <w:numFmt w:val="bullet"/>
      <w:lvlText w:val="o"/>
      <w:lvlJc w:val="left"/>
      <w:pPr>
        <w:ind w:left="1440" w:hanging="360"/>
      </w:pPr>
      <w:rPr>
        <w:rFonts w:ascii="Courier New" w:hAnsi="Courier New" w:cs="Courier New" w:hint="default"/>
      </w:rPr>
    </w:lvl>
    <w:lvl w:ilvl="2" w:tplc="EB4C701C" w:tentative="1">
      <w:start w:val="1"/>
      <w:numFmt w:val="bullet"/>
      <w:lvlText w:val=""/>
      <w:lvlJc w:val="left"/>
      <w:pPr>
        <w:ind w:left="2160" w:hanging="360"/>
      </w:pPr>
      <w:rPr>
        <w:rFonts w:ascii="Wingdings" w:hAnsi="Wingdings" w:hint="default"/>
      </w:rPr>
    </w:lvl>
    <w:lvl w:ilvl="3" w:tplc="3EEE9522" w:tentative="1">
      <w:start w:val="1"/>
      <w:numFmt w:val="bullet"/>
      <w:lvlText w:val=""/>
      <w:lvlJc w:val="left"/>
      <w:pPr>
        <w:ind w:left="2880" w:hanging="360"/>
      </w:pPr>
      <w:rPr>
        <w:rFonts w:ascii="Symbol" w:hAnsi="Symbol" w:hint="default"/>
      </w:rPr>
    </w:lvl>
    <w:lvl w:ilvl="4" w:tplc="C31814EC" w:tentative="1">
      <w:start w:val="1"/>
      <w:numFmt w:val="bullet"/>
      <w:lvlText w:val="o"/>
      <w:lvlJc w:val="left"/>
      <w:pPr>
        <w:ind w:left="3600" w:hanging="360"/>
      </w:pPr>
      <w:rPr>
        <w:rFonts w:ascii="Courier New" w:hAnsi="Courier New" w:cs="Courier New" w:hint="default"/>
      </w:rPr>
    </w:lvl>
    <w:lvl w:ilvl="5" w:tplc="E01888C6" w:tentative="1">
      <w:start w:val="1"/>
      <w:numFmt w:val="bullet"/>
      <w:lvlText w:val=""/>
      <w:lvlJc w:val="left"/>
      <w:pPr>
        <w:ind w:left="4320" w:hanging="360"/>
      </w:pPr>
      <w:rPr>
        <w:rFonts w:ascii="Wingdings" w:hAnsi="Wingdings" w:hint="default"/>
      </w:rPr>
    </w:lvl>
    <w:lvl w:ilvl="6" w:tplc="BA34D488" w:tentative="1">
      <w:start w:val="1"/>
      <w:numFmt w:val="bullet"/>
      <w:lvlText w:val=""/>
      <w:lvlJc w:val="left"/>
      <w:pPr>
        <w:ind w:left="5040" w:hanging="360"/>
      </w:pPr>
      <w:rPr>
        <w:rFonts w:ascii="Symbol" w:hAnsi="Symbol" w:hint="default"/>
      </w:rPr>
    </w:lvl>
    <w:lvl w:ilvl="7" w:tplc="FF0E6EC0" w:tentative="1">
      <w:start w:val="1"/>
      <w:numFmt w:val="bullet"/>
      <w:lvlText w:val="o"/>
      <w:lvlJc w:val="left"/>
      <w:pPr>
        <w:ind w:left="5760" w:hanging="360"/>
      </w:pPr>
      <w:rPr>
        <w:rFonts w:ascii="Courier New" w:hAnsi="Courier New" w:cs="Courier New" w:hint="default"/>
      </w:rPr>
    </w:lvl>
    <w:lvl w:ilvl="8" w:tplc="3912F348" w:tentative="1">
      <w:start w:val="1"/>
      <w:numFmt w:val="bullet"/>
      <w:lvlText w:val=""/>
      <w:lvlJc w:val="left"/>
      <w:pPr>
        <w:ind w:left="6480" w:hanging="360"/>
      </w:pPr>
      <w:rPr>
        <w:rFonts w:ascii="Wingdings" w:hAnsi="Wingdings" w:hint="default"/>
      </w:rPr>
    </w:lvl>
  </w:abstractNum>
  <w:abstractNum w:abstractNumId="17" w15:restartNumberingAfterBreak="0">
    <w:nsid w:val="7EA42ED2"/>
    <w:multiLevelType w:val="hybridMultilevel"/>
    <w:tmpl w:val="43103AA6"/>
    <w:lvl w:ilvl="0" w:tplc="FE2C9106">
      <w:start w:val="1"/>
      <w:numFmt w:val="bullet"/>
      <w:lvlText w:val=""/>
      <w:lvlJc w:val="left"/>
      <w:pPr>
        <w:ind w:left="720" w:hanging="360"/>
      </w:pPr>
      <w:rPr>
        <w:rFonts w:ascii="Symbol" w:hAnsi="Symbol" w:hint="default"/>
      </w:rPr>
    </w:lvl>
    <w:lvl w:ilvl="1" w:tplc="3F2038BC" w:tentative="1">
      <w:start w:val="1"/>
      <w:numFmt w:val="bullet"/>
      <w:lvlText w:val="o"/>
      <w:lvlJc w:val="left"/>
      <w:pPr>
        <w:ind w:left="1440" w:hanging="360"/>
      </w:pPr>
      <w:rPr>
        <w:rFonts w:ascii="Courier New" w:hAnsi="Courier New" w:cs="Courier New" w:hint="default"/>
      </w:rPr>
    </w:lvl>
    <w:lvl w:ilvl="2" w:tplc="E5546896" w:tentative="1">
      <w:start w:val="1"/>
      <w:numFmt w:val="bullet"/>
      <w:lvlText w:val=""/>
      <w:lvlJc w:val="left"/>
      <w:pPr>
        <w:ind w:left="2160" w:hanging="360"/>
      </w:pPr>
      <w:rPr>
        <w:rFonts w:ascii="Wingdings" w:hAnsi="Wingdings" w:hint="default"/>
      </w:rPr>
    </w:lvl>
    <w:lvl w:ilvl="3" w:tplc="E118DD1E" w:tentative="1">
      <w:start w:val="1"/>
      <w:numFmt w:val="bullet"/>
      <w:lvlText w:val=""/>
      <w:lvlJc w:val="left"/>
      <w:pPr>
        <w:ind w:left="2880" w:hanging="360"/>
      </w:pPr>
      <w:rPr>
        <w:rFonts w:ascii="Symbol" w:hAnsi="Symbol" w:hint="default"/>
      </w:rPr>
    </w:lvl>
    <w:lvl w:ilvl="4" w:tplc="40CA0A66" w:tentative="1">
      <w:start w:val="1"/>
      <w:numFmt w:val="bullet"/>
      <w:lvlText w:val="o"/>
      <w:lvlJc w:val="left"/>
      <w:pPr>
        <w:ind w:left="3600" w:hanging="360"/>
      </w:pPr>
      <w:rPr>
        <w:rFonts w:ascii="Courier New" w:hAnsi="Courier New" w:cs="Courier New" w:hint="default"/>
      </w:rPr>
    </w:lvl>
    <w:lvl w:ilvl="5" w:tplc="5ED469C0" w:tentative="1">
      <w:start w:val="1"/>
      <w:numFmt w:val="bullet"/>
      <w:lvlText w:val=""/>
      <w:lvlJc w:val="left"/>
      <w:pPr>
        <w:ind w:left="4320" w:hanging="360"/>
      </w:pPr>
      <w:rPr>
        <w:rFonts w:ascii="Wingdings" w:hAnsi="Wingdings" w:hint="default"/>
      </w:rPr>
    </w:lvl>
    <w:lvl w:ilvl="6" w:tplc="4EA4598C" w:tentative="1">
      <w:start w:val="1"/>
      <w:numFmt w:val="bullet"/>
      <w:lvlText w:val=""/>
      <w:lvlJc w:val="left"/>
      <w:pPr>
        <w:ind w:left="5040" w:hanging="360"/>
      </w:pPr>
      <w:rPr>
        <w:rFonts w:ascii="Symbol" w:hAnsi="Symbol" w:hint="default"/>
      </w:rPr>
    </w:lvl>
    <w:lvl w:ilvl="7" w:tplc="B618663C" w:tentative="1">
      <w:start w:val="1"/>
      <w:numFmt w:val="bullet"/>
      <w:lvlText w:val="o"/>
      <w:lvlJc w:val="left"/>
      <w:pPr>
        <w:ind w:left="5760" w:hanging="360"/>
      </w:pPr>
      <w:rPr>
        <w:rFonts w:ascii="Courier New" w:hAnsi="Courier New" w:cs="Courier New" w:hint="default"/>
      </w:rPr>
    </w:lvl>
    <w:lvl w:ilvl="8" w:tplc="9A1235A2" w:tentative="1">
      <w:start w:val="1"/>
      <w:numFmt w:val="bullet"/>
      <w:lvlText w:val=""/>
      <w:lvlJc w:val="left"/>
      <w:pPr>
        <w:ind w:left="6480" w:hanging="360"/>
      </w:pPr>
      <w:rPr>
        <w:rFonts w:ascii="Wingdings" w:hAnsi="Wingdings" w:hint="default"/>
      </w:rPr>
    </w:lvl>
  </w:abstractNum>
  <w:num w:numId="1" w16cid:durableId="1425804418">
    <w:abstractNumId w:val="11"/>
  </w:num>
  <w:num w:numId="2" w16cid:durableId="1396665615">
    <w:abstractNumId w:val="15"/>
  </w:num>
  <w:num w:numId="3" w16cid:durableId="1498809390">
    <w:abstractNumId w:val="16"/>
  </w:num>
  <w:num w:numId="4" w16cid:durableId="1783761232">
    <w:abstractNumId w:val="8"/>
  </w:num>
  <w:num w:numId="5" w16cid:durableId="839856357">
    <w:abstractNumId w:val="14"/>
  </w:num>
  <w:num w:numId="6" w16cid:durableId="484783438">
    <w:abstractNumId w:val="2"/>
  </w:num>
  <w:num w:numId="7" w16cid:durableId="1183860872">
    <w:abstractNumId w:val="17"/>
  </w:num>
  <w:num w:numId="8" w16cid:durableId="2367620">
    <w:abstractNumId w:val="0"/>
  </w:num>
  <w:num w:numId="9" w16cid:durableId="1078140567">
    <w:abstractNumId w:val="6"/>
  </w:num>
  <w:num w:numId="10" w16cid:durableId="532890755">
    <w:abstractNumId w:val="13"/>
  </w:num>
  <w:num w:numId="11" w16cid:durableId="13113269">
    <w:abstractNumId w:val="12"/>
  </w:num>
  <w:num w:numId="12" w16cid:durableId="1812943201">
    <w:abstractNumId w:val="1"/>
  </w:num>
  <w:num w:numId="13" w16cid:durableId="1833108145">
    <w:abstractNumId w:val="7"/>
  </w:num>
  <w:num w:numId="14" w16cid:durableId="923026529">
    <w:abstractNumId w:val="9"/>
  </w:num>
  <w:num w:numId="15" w16cid:durableId="609052139">
    <w:abstractNumId w:val="3"/>
  </w:num>
  <w:num w:numId="16" w16cid:durableId="1327318258">
    <w:abstractNumId w:val="5"/>
  </w:num>
  <w:num w:numId="17" w16cid:durableId="719400217">
    <w:abstractNumId w:val="10"/>
  </w:num>
  <w:num w:numId="18" w16cid:durableId="1449203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13507"/>
    <w:rsid w:val="00031182"/>
    <w:rsid w:val="00055044"/>
    <w:rsid w:val="0009332A"/>
    <w:rsid w:val="000A50B1"/>
    <w:rsid w:val="001579F6"/>
    <w:rsid w:val="001B00B9"/>
    <w:rsid w:val="001B255F"/>
    <w:rsid w:val="001E19CE"/>
    <w:rsid w:val="001F32FD"/>
    <w:rsid w:val="002665F1"/>
    <w:rsid w:val="002B74F5"/>
    <w:rsid w:val="002F1E2D"/>
    <w:rsid w:val="003076D2"/>
    <w:rsid w:val="00354AEA"/>
    <w:rsid w:val="003552EF"/>
    <w:rsid w:val="003A74DF"/>
    <w:rsid w:val="003B52E7"/>
    <w:rsid w:val="003E0C84"/>
    <w:rsid w:val="00401BF1"/>
    <w:rsid w:val="004040B5"/>
    <w:rsid w:val="004C02C1"/>
    <w:rsid w:val="004E6A7F"/>
    <w:rsid w:val="004F1DC6"/>
    <w:rsid w:val="00524363"/>
    <w:rsid w:val="00543405"/>
    <w:rsid w:val="00570D92"/>
    <w:rsid w:val="005B6710"/>
    <w:rsid w:val="005F08DF"/>
    <w:rsid w:val="00603DB9"/>
    <w:rsid w:val="00627604"/>
    <w:rsid w:val="00682D15"/>
    <w:rsid w:val="006A5D4D"/>
    <w:rsid w:val="006D08DB"/>
    <w:rsid w:val="006E276B"/>
    <w:rsid w:val="00723B30"/>
    <w:rsid w:val="00737535"/>
    <w:rsid w:val="007B69DA"/>
    <w:rsid w:val="00824E16"/>
    <w:rsid w:val="00841EF7"/>
    <w:rsid w:val="00842A7A"/>
    <w:rsid w:val="00856532"/>
    <w:rsid w:val="00876E7E"/>
    <w:rsid w:val="008B4A9D"/>
    <w:rsid w:val="00921FDF"/>
    <w:rsid w:val="00930B81"/>
    <w:rsid w:val="0094030B"/>
    <w:rsid w:val="00941D43"/>
    <w:rsid w:val="0095597F"/>
    <w:rsid w:val="009747AF"/>
    <w:rsid w:val="009975C0"/>
    <w:rsid w:val="009B0E1E"/>
    <w:rsid w:val="009D20A7"/>
    <w:rsid w:val="00A300E1"/>
    <w:rsid w:val="00A555FD"/>
    <w:rsid w:val="00A60014"/>
    <w:rsid w:val="00AC7B16"/>
    <w:rsid w:val="00AD184E"/>
    <w:rsid w:val="00AD2019"/>
    <w:rsid w:val="00AD327E"/>
    <w:rsid w:val="00AD441C"/>
    <w:rsid w:val="00B117E9"/>
    <w:rsid w:val="00B2382D"/>
    <w:rsid w:val="00B55FF2"/>
    <w:rsid w:val="00B745B2"/>
    <w:rsid w:val="00BD427C"/>
    <w:rsid w:val="00BE159E"/>
    <w:rsid w:val="00C07E4B"/>
    <w:rsid w:val="00C93289"/>
    <w:rsid w:val="00C9573A"/>
    <w:rsid w:val="00CD2FA9"/>
    <w:rsid w:val="00CD3187"/>
    <w:rsid w:val="00CF0342"/>
    <w:rsid w:val="00D145A9"/>
    <w:rsid w:val="00D2072B"/>
    <w:rsid w:val="00D2463D"/>
    <w:rsid w:val="00D260F6"/>
    <w:rsid w:val="00D354D0"/>
    <w:rsid w:val="00D61529"/>
    <w:rsid w:val="00D9662E"/>
    <w:rsid w:val="00E01DD5"/>
    <w:rsid w:val="00E03C5E"/>
    <w:rsid w:val="00E062E6"/>
    <w:rsid w:val="00E277EE"/>
    <w:rsid w:val="00E55DFF"/>
    <w:rsid w:val="00EA1504"/>
    <w:rsid w:val="00EA25EF"/>
    <w:rsid w:val="00EA2F51"/>
    <w:rsid w:val="00EC2205"/>
    <w:rsid w:val="00EE431E"/>
    <w:rsid w:val="00F0610E"/>
    <w:rsid w:val="00F4111F"/>
    <w:rsid w:val="00F55E2B"/>
    <w:rsid w:val="00F65E91"/>
    <w:rsid w:val="00FB3DCB"/>
    <w:rsid w:val="00FB6BE5"/>
    <w:rsid w:val="00FE066F"/>
    <w:rsid w:val="00FF3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956E"/>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F41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customStyle="1" w:styleId="Heading3Char">
    <w:name w:val="Heading 3 Char"/>
    <w:basedOn w:val="DefaultParagraphFont"/>
    <w:link w:val="Heading3"/>
    <w:uiPriority w:val="9"/>
    <w:rsid w:val="00F4111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01DD5"/>
    <w:rPr>
      <w:sz w:val="16"/>
      <w:szCs w:val="16"/>
    </w:rPr>
  </w:style>
  <w:style w:type="paragraph" w:styleId="CommentText">
    <w:name w:val="annotation text"/>
    <w:basedOn w:val="Normal"/>
    <w:link w:val="CommentTextChar"/>
    <w:uiPriority w:val="99"/>
    <w:semiHidden/>
    <w:unhideWhenUsed/>
    <w:rsid w:val="00E01DD5"/>
    <w:pPr>
      <w:spacing w:line="240" w:lineRule="auto"/>
    </w:pPr>
    <w:rPr>
      <w:sz w:val="20"/>
      <w:szCs w:val="20"/>
    </w:rPr>
  </w:style>
  <w:style w:type="character" w:customStyle="1" w:styleId="CommentTextChar">
    <w:name w:val="Comment Text Char"/>
    <w:basedOn w:val="DefaultParagraphFont"/>
    <w:link w:val="CommentText"/>
    <w:uiPriority w:val="99"/>
    <w:semiHidden/>
    <w:rsid w:val="00E01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1DD5"/>
    <w:rPr>
      <w:b/>
      <w:bCs/>
    </w:rPr>
  </w:style>
  <w:style w:type="character" w:customStyle="1" w:styleId="CommentSubjectChar">
    <w:name w:val="Comment Subject Char"/>
    <w:basedOn w:val="CommentTextChar"/>
    <w:link w:val="CommentSubject"/>
    <w:uiPriority w:val="99"/>
    <w:semiHidden/>
    <w:rsid w:val="00E01DD5"/>
    <w:rPr>
      <w:rFonts w:ascii="Calibri" w:eastAsia="Calibri" w:hAnsi="Calibri" w:cs="Times New Roman"/>
      <w:b/>
      <w:bCs/>
      <w:sz w:val="20"/>
      <w:szCs w:val="20"/>
    </w:rPr>
  </w:style>
  <w:style w:type="paragraph" w:styleId="NormalWeb">
    <w:name w:val="Normal (Web)"/>
    <w:basedOn w:val="Normal"/>
    <w:uiPriority w:val="99"/>
    <w:semiHidden/>
    <w:unhideWhenUsed/>
    <w:rsid w:val="00A60014"/>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B55FF2"/>
    <w:rPr>
      <w:color w:val="954F72" w:themeColor="followedHyperlink"/>
      <w:u w:val="single"/>
    </w:rPr>
  </w:style>
  <w:style w:type="paragraph" w:styleId="Revision">
    <w:name w:val="Revision"/>
    <w:hidden/>
    <w:uiPriority w:val="99"/>
    <w:semiHidden/>
    <w:rsid w:val="00930B8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terquality.gov.au/anz-guidelines/guideline-values/default/draft-dgvs" TargetMode="External"/><Relationship Id="rId5" Type="http://schemas.openxmlformats.org/officeDocument/2006/relationships/styles" Target="styles.xml"/><Relationship Id="rId15" Type="http://schemas.openxmlformats.org/officeDocument/2006/relationships/hyperlink" Target="https://www.waterquality.gov.au/anz-guidelines/guideline-values/default/water-quality-toxicant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3" ma:contentTypeDescription="Create a new document." ma:contentTypeScope="" ma:versionID="c5cad13b6666b7852f4eaa8dcc206fb9">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e9b090d71a2e5fb3627b9888c9f68a88"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BEE43-7233-4BCB-80FF-14EEAD1BF528}">
  <ds:schemaRefs>
    <ds:schemaRef ds:uri="http://schemas.microsoft.com/sharepoint/v3/contenttype/forms"/>
  </ds:schemaRefs>
</ds:datastoreItem>
</file>

<file path=customXml/itemProps2.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customXml/itemProps3.xml><?xml version="1.0" encoding="utf-8"?>
<ds:datastoreItem xmlns:ds="http://schemas.openxmlformats.org/officeDocument/2006/customXml" ds:itemID="{3FC19D99-8BE4-4090-922F-14764548D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728ac-f998-415c-abee-6b046fb1441e"/>
    <ds:schemaRef ds:uri="81c01dc6-2c49-4730-b140-874c95cac377"/>
    <ds:schemaRef ds:uri="d869c146-c82e-4435-92e4-da9154226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Mancozeb in freshwater - Technical brief</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Mancozeb in freshwater - Technical brief</dc:title>
  <dc:creator>Water Quality Australia</dc:creator>
  <cp:lastModifiedBy>Nguyen, Lien</cp:lastModifiedBy>
  <cp:revision>3</cp:revision>
  <cp:lastPrinted>2023-07-11T01:49:00Z</cp:lastPrinted>
  <dcterms:created xsi:type="dcterms:W3CDTF">2023-07-14T02:03:00Z</dcterms:created>
  <dcterms:modified xsi:type="dcterms:W3CDTF">2023-07-17T04:46:00Z</dcterms:modified>
</cp:coreProperties>
</file>