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F1E0C" w14:textId="50C4839E" w:rsidR="00824D72" w:rsidRPr="004A7EDD" w:rsidRDefault="00AA212F" w:rsidP="00824D72">
      <w:pPr>
        <w:keepNext/>
        <w:keepLines/>
        <w:spacing w:before="240" w:line="240" w:lineRule="auto"/>
        <w:outlineLvl w:val="0"/>
        <w:rPr>
          <w:rFonts w:ascii="Calibri Light" w:eastAsia="Times New Roman" w:hAnsi="Calibri Light"/>
          <w:color w:val="0F4761" w:themeColor="accent1" w:themeShade="BF"/>
          <w:sz w:val="32"/>
          <w:szCs w:val="32"/>
        </w:rPr>
      </w:pPr>
      <w:r>
        <w:rPr>
          <w:rFonts w:ascii="Calibri Light" w:eastAsia="Times New Roman" w:hAnsi="Calibri Light"/>
          <w:color w:val="0F4761" w:themeColor="accent1" w:themeShade="BF"/>
          <w:sz w:val="32"/>
          <w:szCs w:val="32"/>
        </w:rPr>
        <w:t>Draft p</w:t>
      </w:r>
      <w:r w:rsidR="00824D72">
        <w:rPr>
          <w:rFonts w:ascii="Calibri Light" w:eastAsia="Times New Roman" w:hAnsi="Calibri Light"/>
          <w:color w:val="0F4761" w:themeColor="accent1" w:themeShade="BF"/>
          <w:sz w:val="32"/>
          <w:szCs w:val="32"/>
        </w:rPr>
        <w:t>roposed r</w:t>
      </w:r>
      <w:r w:rsidR="00824D72" w:rsidRPr="004A7EDD">
        <w:rPr>
          <w:rFonts w:ascii="Calibri Light" w:eastAsia="Times New Roman" w:hAnsi="Calibri Light"/>
          <w:color w:val="0F4761" w:themeColor="accent1" w:themeShade="BF"/>
          <w:sz w:val="32"/>
          <w:szCs w:val="32"/>
        </w:rPr>
        <w:t>esponse</w:t>
      </w:r>
      <w:r w:rsidR="00D87C10">
        <w:rPr>
          <w:rFonts w:ascii="Calibri Light" w:eastAsia="Times New Roman" w:hAnsi="Calibri Light"/>
          <w:color w:val="0F4761" w:themeColor="accent1" w:themeShade="BF"/>
          <w:sz w:val="32"/>
          <w:szCs w:val="32"/>
        </w:rPr>
        <w:t>s</w:t>
      </w:r>
      <w:r w:rsidR="00824D72" w:rsidRPr="004A7EDD">
        <w:rPr>
          <w:rFonts w:ascii="Calibri Light" w:eastAsia="Times New Roman" w:hAnsi="Calibri Light"/>
          <w:color w:val="0F4761" w:themeColor="accent1" w:themeShade="BF"/>
          <w:sz w:val="32"/>
          <w:szCs w:val="32"/>
        </w:rPr>
        <w:t xml:space="preserve"> to public submission on draft default guideline values</w:t>
      </w:r>
    </w:p>
    <w:p w14:paraId="14A0B57D" w14:textId="77777777" w:rsidR="00824D72" w:rsidRPr="004A7EDD" w:rsidRDefault="00824D72" w:rsidP="00824D72">
      <w:pPr>
        <w:spacing w:before="0" w:line="280" w:lineRule="atLeast"/>
        <w:rPr>
          <w:b/>
          <w:bCs/>
          <w:sz w:val="24"/>
          <w:szCs w:val="24"/>
        </w:rPr>
      </w:pPr>
      <w:r w:rsidRPr="004A7EDD">
        <w:rPr>
          <w:b/>
          <w:bCs/>
          <w:sz w:val="24"/>
          <w:szCs w:val="24"/>
        </w:rPr>
        <w:t xml:space="preserve">Toxicant: </w:t>
      </w:r>
      <w:r w:rsidRPr="00900F4B">
        <w:rPr>
          <w:b/>
          <w:bCs/>
          <w:sz w:val="24"/>
          <w:szCs w:val="24"/>
        </w:rPr>
        <w:t>PFOS in freshwater</w:t>
      </w:r>
    </w:p>
    <w:tbl>
      <w:tblPr>
        <w:tblStyle w:val="TableGrid1"/>
        <w:tblW w:w="0" w:type="auto"/>
        <w:tblLook w:val="04A0" w:firstRow="1" w:lastRow="0" w:firstColumn="1" w:lastColumn="0" w:noHBand="0" w:noVBand="1"/>
      </w:tblPr>
      <w:tblGrid>
        <w:gridCol w:w="4673"/>
        <w:gridCol w:w="5954"/>
        <w:gridCol w:w="3118"/>
      </w:tblGrid>
      <w:tr w:rsidR="00824D72" w14:paraId="3BDED5A7" w14:textId="77777777" w:rsidTr="00285DF0">
        <w:trPr>
          <w:tblHeader/>
        </w:trPr>
        <w:tc>
          <w:tcPr>
            <w:tcW w:w="4673" w:type="dxa"/>
            <w:tcBorders>
              <w:top w:val="single" w:sz="4" w:space="0" w:color="auto"/>
              <w:left w:val="single" w:sz="4" w:space="0" w:color="auto"/>
              <w:bottom w:val="single" w:sz="4" w:space="0" w:color="auto"/>
              <w:right w:val="single" w:sz="4" w:space="0" w:color="auto"/>
            </w:tcBorders>
            <w:hideMark/>
          </w:tcPr>
          <w:p w14:paraId="745F2AF0" w14:textId="7C120705" w:rsidR="00824D72" w:rsidRPr="004A7EDD" w:rsidRDefault="00824D72" w:rsidP="00285DF0">
            <w:pPr>
              <w:spacing w:before="60" w:after="60" w:line="280" w:lineRule="atLeast"/>
              <w:rPr>
                <w:b/>
                <w:bCs/>
                <w:sz w:val="20"/>
                <w:szCs w:val="20"/>
              </w:rPr>
            </w:pPr>
            <w:r>
              <w:rPr>
                <w:b/>
                <w:bCs/>
                <w:sz w:val="20"/>
                <w:szCs w:val="20"/>
              </w:rPr>
              <w:t xml:space="preserve">Summary of </w:t>
            </w:r>
            <w:r w:rsidR="00A95E89">
              <w:rPr>
                <w:b/>
                <w:bCs/>
                <w:sz w:val="20"/>
                <w:szCs w:val="20"/>
              </w:rPr>
              <w:t xml:space="preserve">public </w:t>
            </w:r>
            <w:r>
              <w:rPr>
                <w:b/>
                <w:bCs/>
                <w:sz w:val="20"/>
                <w:szCs w:val="20"/>
              </w:rPr>
              <w:t>c</w:t>
            </w:r>
            <w:r w:rsidRPr="004A7EDD">
              <w:rPr>
                <w:b/>
                <w:bCs/>
                <w:sz w:val="20"/>
                <w:szCs w:val="20"/>
              </w:rPr>
              <w:t>omment</w:t>
            </w:r>
            <w:r>
              <w:rPr>
                <w:b/>
                <w:bCs/>
                <w:sz w:val="20"/>
                <w:szCs w:val="20"/>
              </w:rPr>
              <w:t>s</w:t>
            </w:r>
          </w:p>
        </w:tc>
        <w:tc>
          <w:tcPr>
            <w:tcW w:w="5954" w:type="dxa"/>
            <w:tcBorders>
              <w:top w:val="single" w:sz="4" w:space="0" w:color="auto"/>
              <w:left w:val="single" w:sz="4" w:space="0" w:color="auto"/>
              <w:bottom w:val="single" w:sz="4" w:space="0" w:color="auto"/>
              <w:right w:val="single" w:sz="4" w:space="0" w:color="auto"/>
            </w:tcBorders>
            <w:hideMark/>
          </w:tcPr>
          <w:p w14:paraId="01FF31AD" w14:textId="77777777" w:rsidR="00824D72" w:rsidRPr="004A7EDD" w:rsidRDefault="00824D72" w:rsidP="00285DF0">
            <w:pPr>
              <w:spacing w:before="60" w:after="60" w:line="280" w:lineRule="atLeast"/>
              <w:rPr>
                <w:b/>
                <w:bCs/>
                <w:sz w:val="20"/>
                <w:szCs w:val="20"/>
              </w:rPr>
            </w:pPr>
            <w:r w:rsidRPr="004A7EDD">
              <w:rPr>
                <w:b/>
                <w:bCs/>
                <w:sz w:val="20"/>
                <w:szCs w:val="20"/>
              </w:rPr>
              <w:t>Response</w:t>
            </w:r>
          </w:p>
        </w:tc>
        <w:tc>
          <w:tcPr>
            <w:tcW w:w="3118" w:type="dxa"/>
            <w:tcBorders>
              <w:top w:val="single" w:sz="4" w:space="0" w:color="auto"/>
              <w:left w:val="single" w:sz="4" w:space="0" w:color="auto"/>
              <w:bottom w:val="single" w:sz="4" w:space="0" w:color="auto"/>
              <w:right w:val="single" w:sz="4" w:space="0" w:color="auto"/>
            </w:tcBorders>
            <w:hideMark/>
          </w:tcPr>
          <w:p w14:paraId="36217052" w14:textId="3F1213A4" w:rsidR="00824D72" w:rsidRPr="004A7EDD" w:rsidRDefault="00824D72" w:rsidP="00285DF0">
            <w:pPr>
              <w:spacing w:before="60" w:after="60" w:line="280" w:lineRule="atLeast"/>
              <w:rPr>
                <w:b/>
                <w:bCs/>
                <w:sz w:val="20"/>
                <w:szCs w:val="20"/>
              </w:rPr>
            </w:pPr>
            <w:r w:rsidRPr="004A7EDD">
              <w:rPr>
                <w:b/>
                <w:bCs/>
                <w:sz w:val="20"/>
                <w:szCs w:val="20"/>
              </w:rPr>
              <w:t xml:space="preserve">Action </w:t>
            </w:r>
            <w:r w:rsidR="002B1C11">
              <w:rPr>
                <w:b/>
                <w:bCs/>
                <w:sz w:val="20"/>
                <w:szCs w:val="20"/>
              </w:rPr>
              <w:t xml:space="preserve">to be </w:t>
            </w:r>
            <w:r w:rsidRPr="004A7EDD">
              <w:rPr>
                <w:b/>
                <w:bCs/>
                <w:sz w:val="20"/>
                <w:szCs w:val="20"/>
              </w:rPr>
              <w:t>taken</w:t>
            </w:r>
          </w:p>
        </w:tc>
      </w:tr>
      <w:tr w:rsidR="00824D72" w14:paraId="090536A2" w14:textId="77777777" w:rsidTr="00285DF0">
        <w:tc>
          <w:tcPr>
            <w:tcW w:w="13745" w:type="dxa"/>
            <w:gridSpan w:val="3"/>
            <w:tcBorders>
              <w:top w:val="single" w:sz="4" w:space="0" w:color="auto"/>
              <w:left w:val="single" w:sz="4" w:space="0" w:color="auto"/>
              <w:bottom w:val="single" w:sz="4" w:space="0" w:color="auto"/>
              <w:right w:val="single" w:sz="4" w:space="0" w:color="auto"/>
            </w:tcBorders>
          </w:tcPr>
          <w:p w14:paraId="6EB74CAB" w14:textId="77777777" w:rsidR="00824D72" w:rsidRPr="004A7EDD" w:rsidRDefault="00824D72" w:rsidP="00285DF0">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 xml:space="preserve">A </w:t>
            </w:r>
          </w:p>
        </w:tc>
      </w:tr>
      <w:tr w:rsidR="00824D72" w14:paraId="204C539F" w14:textId="77777777" w:rsidTr="00285DF0">
        <w:tc>
          <w:tcPr>
            <w:tcW w:w="4673" w:type="dxa"/>
            <w:tcBorders>
              <w:top w:val="single" w:sz="4" w:space="0" w:color="auto"/>
              <w:left w:val="single" w:sz="4" w:space="0" w:color="auto"/>
              <w:bottom w:val="single" w:sz="4" w:space="0" w:color="auto"/>
              <w:right w:val="single" w:sz="4" w:space="0" w:color="auto"/>
            </w:tcBorders>
          </w:tcPr>
          <w:p w14:paraId="280D97BB" w14:textId="79253754" w:rsidR="00824D72" w:rsidRPr="00064189" w:rsidRDefault="00824D72" w:rsidP="00064189">
            <w:pPr>
              <w:pStyle w:val="ListParagraph"/>
              <w:numPr>
                <w:ilvl w:val="0"/>
                <w:numId w:val="24"/>
              </w:numPr>
              <w:spacing w:before="60" w:after="60" w:line="240" w:lineRule="auto"/>
              <w:ind w:left="312" w:hanging="267"/>
              <w:rPr>
                <w:bCs/>
                <w:sz w:val="18"/>
                <w:szCs w:val="18"/>
              </w:rPr>
            </w:pPr>
            <w:r w:rsidRPr="00064189">
              <w:rPr>
                <w:bCs/>
                <w:sz w:val="18"/>
                <w:szCs w:val="18"/>
              </w:rPr>
              <w:t>Concerns over use of the Burr Type III model for the species sensitivity distribution (SSD).</w:t>
            </w:r>
          </w:p>
        </w:tc>
        <w:tc>
          <w:tcPr>
            <w:tcW w:w="5954" w:type="dxa"/>
            <w:tcBorders>
              <w:top w:val="single" w:sz="4" w:space="0" w:color="auto"/>
              <w:left w:val="single" w:sz="4" w:space="0" w:color="auto"/>
              <w:bottom w:val="single" w:sz="4" w:space="0" w:color="auto"/>
              <w:right w:val="single" w:sz="4" w:space="0" w:color="auto"/>
            </w:tcBorders>
          </w:tcPr>
          <w:p w14:paraId="2C82A139" w14:textId="77777777" w:rsidR="00824D72" w:rsidRPr="004A7EDD" w:rsidRDefault="00824D72" w:rsidP="00285DF0">
            <w:pPr>
              <w:spacing w:before="60" w:after="60" w:line="240" w:lineRule="auto"/>
              <w:rPr>
                <w:iCs/>
                <w:sz w:val="18"/>
                <w:szCs w:val="18"/>
              </w:rPr>
            </w:pPr>
            <w:r>
              <w:rPr>
                <w:iCs/>
                <w:sz w:val="18"/>
                <w:szCs w:val="18"/>
              </w:rPr>
              <w:t>The use of the Burr Type III model was in accordance with the use of the Burrlioz 2.0 software as specified in the DGVs derivation method (Warne et al. (2018). Nevertheless, and in response to this comment and similar comments made in other submissions, a comparison was undertaken between the use of the Burrlioz 2.0 and shinyssdtools (v 0.2.0) SSD software packages for the PFOS DGVs. Notably, the Australian and New Zealand governments have already approved the transition from the use of Burrlioz to shinyssdtools for deriving DGVs, although this transition process is not yet complete and the latter is yet to be formally adopted. The software comparison showed that shinyssdtools (using model averaging) produced more defensible DGVs and also that the Burr Type III model was among the poorest fitting SSD models of the seven models used in shinyssdtools. Consequently, and given the impending transition to shinyssdtools, the jurisdictional review/approval committees approved the use of shinyssdtools (using model averaging) for deriving the PFOS freshwater DGVs.</w:t>
            </w:r>
          </w:p>
        </w:tc>
        <w:tc>
          <w:tcPr>
            <w:tcW w:w="3118" w:type="dxa"/>
            <w:tcBorders>
              <w:top w:val="single" w:sz="4" w:space="0" w:color="auto"/>
              <w:left w:val="single" w:sz="4" w:space="0" w:color="auto"/>
              <w:bottom w:val="single" w:sz="4" w:space="0" w:color="auto"/>
              <w:right w:val="single" w:sz="4" w:space="0" w:color="auto"/>
            </w:tcBorders>
          </w:tcPr>
          <w:p w14:paraId="2A6FDBB4" w14:textId="58C8F6BD" w:rsidR="00824D72" w:rsidRPr="004A7EDD" w:rsidRDefault="00824D72" w:rsidP="00285DF0">
            <w:pPr>
              <w:spacing w:before="60" w:after="60" w:line="240" w:lineRule="auto"/>
              <w:rPr>
                <w:sz w:val="18"/>
                <w:szCs w:val="18"/>
              </w:rPr>
            </w:pPr>
            <w:r>
              <w:rPr>
                <w:sz w:val="18"/>
                <w:szCs w:val="18"/>
              </w:rPr>
              <w:t xml:space="preserve">The DGVs will be revised using the shinyssdtools software </w:t>
            </w:r>
            <w:r w:rsidR="001F3C28">
              <w:rPr>
                <w:sz w:val="18"/>
                <w:szCs w:val="18"/>
              </w:rPr>
              <w:t xml:space="preserve">(v 0.2.0) </w:t>
            </w:r>
            <w:r>
              <w:rPr>
                <w:sz w:val="18"/>
                <w:szCs w:val="18"/>
              </w:rPr>
              <w:t>and its associated model averaging approach.</w:t>
            </w:r>
          </w:p>
        </w:tc>
      </w:tr>
      <w:tr w:rsidR="00824D72" w14:paraId="1A9230EA" w14:textId="77777777" w:rsidTr="00285DF0">
        <w:tc>
          <w:tcPr>
            <w:tcW w:w="4673" w:type="dxa"/>
            <w:tcBorders>
              <w:top w:val="single" w:sz="4" w:space="0" w:color="auto"/>
              <w:left w:val="single" w:sz="4" w:space="0" w:color="auto"/>
              <w:bottom w:val="single" w:sz="4" w:space="0" w:color="auto"/>
              <w:right w:val="single" w:sz="4" w:space="0" w:color="auto"/>
            </w:tcBorders>
          </w:tcPr>
          <w:p w14:paraId="2B30BC53" w14:textId="08F8ADA1" w:rsidR="00824D72" w:rsidRPr="00064189" w:rsidRDefault="00824D72" w:rsidP="00064189">
            <w:pPr>
              <w:pStyle w:val="ListParagraph"/>
              <w:numPr>
                <w:ilvl w:val="0"/>
                <w:numId w:val="24"/>
              </w:numPr>
              <w:spacing w:before="60" w:after="60" w:line="240" w:lineRule="auto"/>
              <w:ind w:left="312" w:hanging="267"/>
              <w:rPr>
                <w:bCs/>
                <w:sz w:val="18"/>
                <w:szCs w:val="18"/>
              </w:rPr>
            </w:pPr>
            <w:r w:rsidRPr="00064189">
              <w:rPr>
                <w:bCs/>
                <w:sz w:val="18"/>
                <w:szCs w:val="18"/>
              </w:rPr>
              <w:t xml:space="preserve">Concerns over the </w:t>
            </w:r>
            <w:r w:rsidR="00064189">
              <w:rPr>
                <w:bCs/>
                <w:sz w:val="18"/>
                <w:szCs w:val="18"/>
              </w:rPr>
              <w:t>inclusion</w:t>
            </w:r>
            <w:r w:rsidRPr="00064189">
              <w:rPr>
                <w:bCs/>
                <w:sz w:val="18"/>
                <w:szCs w:val="18"/>
              </w:rPr>
              <w:t xml:space="preserve"> of the </w:t>
            </w:r>
            <w:r w:rsidRPr="00064189">
              <w:rPr>
                <w:bCs/>
                <w:i/>
                <w:iCs/>
                <w:sz w:val="18"/>
                <w:szCs w:val="18"/>
              </w:rPr>
              <w:t>Danio rerio</w:t>
            </w:r>
            <w:r w:rsidRPr="00064189">
              <w:rPr>
                <w:bCs/>
                <w:sz w:val="18"/>
                <w:szCs w:val="18"/>
              </w:rPr>
              <w:t xml:space="preserve"> (zebrafish) multigenerational study by Keiter et al. (2012).</w:t>
            </w:r>
          </w:p>
        </w:tc>
        <w:tc>
          <w:tcPr>
            <w:tcW w:w="5954" w:type="dxa"/>
            <w:tcBorders>
              <w:top w:val="single" w:sz="4" w:space="0" w:color="auto"/>
              <w:left w:val="single" w:sz="4" w:space="0" w:color="auto"/>
              <w:bottom w:val="single" w:sz="4" w:space="0" w:color="auto"/>
              <w:right w:val="single" w:sz="4" w:space="0" w:color="auto"/>
            </w:tcBorders>
          </w:tcPr>
          <w:p w14:paraId="07B59386" w14:textId="2BD596F7" w:rsidR="00824D72" w:rsidRPr="004A7EDD" w:rsidRDefault="00824D72" w:rsidP="00285DF0">
            <w:pPr>
              <w:spacing w:before="60" w:after="60" w:line="240" w:lineRule="auto"/>
              <w:rPr>
                <w:iCs/>
                <w:sz w:val="18"/>
                <w:szCs w:val="18"/>
              </w:rPr>
            </w:pPr>
            <w:r>
              <w:rPr>
                <w:iCs/>
                <w:sz w:val="18"/>
                <w:szCs w:val="18"/>
              </w:rPr>
              <w:t>Independent review of the Keiter et al. (2012) study concluded that the study was unreliable and should not be used in the final dataset for deriving the PFOS freshwater DGVs. Another toxicity value for the zebrafish will need to be selected.</w:t>
            </w:r>
            <w:r w:rsidR="00A4647C">
              <w:rPr>
                <w:iCs/>
                <w:sz w:val="18"/>
                <w:szCs w:val="18"/>
              </w:rPr>
              <w:t xml:space="preserve"> Refer to the </w:t>
            </w:r>
            <w:r w:rsidR="006423A0">
              <w:rPr>
                <w:iCs/>
                <w:sz w:val="18"/>
                <w:szCs w:val="18"/>
              </w:rPr>
              <w:t xml:space="preserve">accompanying </w:t>
            </w:r>
            <w:r w:rsidR="00A4647C">
              <w:rPr>
                <w:iCs/>
                <w:sz w:val="18"/>
                <w:szCs w:val="18"/>
              </w:rPr>
              <w:t>PFOS independent review committee report for details (D</w:t>
            </w:r>
            <w:r w:rsidR="00294081">
              <w:rPr>
                <w:iCs/>
                <w:sz w:val="18"/>
                <w:szCs w:val="18"/>
              </w:rPr>
              <w:t>awson et al.</w:t>
            </w:r>
            <w:r w:rsidR="00A4647C">
              <w:rPr>
                <w:iCs/>
                <w:sz w:val="18"/>
                <w:szCs w:val="18"/>
              </w:rPr>
              <w:t xml:space="preserve"> 2024).</w:t>
            </w:r>
          </w:p>
        </w:tc>
        <w:tc>
          <w:tcPr>
            <w:tcW w:w="3118" w:type="dxa"/>
            <w:tcBorders>
              <w:top w:val="single" w:sz="4" w:space="0" w:color="auto"/>
              <w:left w:val="single" w:sz="4" w:space="0" w:color="auto"/>
              <w:bottom w:val="single" w:sz="4" w:space="0" w:color="auto"/>
              <w:right w:val="single" w:sz="4" w:space="0" w:color="auto"/>
            </w:tcBorders>
          </w:tcPr>
          <w:p w14:paraId="5BE92736" w14:textId="618625EB" w:rsidR="00824D72" w:rsidRPr="004A7EDD" w:rsidRDefault="00824D72" w:rsidP="00285DF0">
            <w:pPr>
              <w:spacing w:before="60" w:after="60" w:line="240" w:lineRule="auto"/>
              <w:rPr>
                <w:sz w:val="18"/>
                <w:szCs w:val="18"/>
              </w:rPr>
            </w:pPr>
            <w:r>
              <w:rPr>
                <w:sz w:val="18"/>
                <w:szCs w:val="18"/>
              </w:rPr>
              <w:t xml:space="preserve">The Keiter et al. (2012) study will be removed </w:t>
            </w:r>
            <w:r w:rsidR="00A4647C">
              <w:rPr>
                <w:sz w:val="18"/>
                <w:szCs w:val="18"/>
              </w:rPr>
              <w:t xml:space="preserve">from the final dataset </w:t>
            </w:r>
            <w:r>
              <w:rPr>
                <w:sz w:val="18"/>
                <w:szCs w:val="18"/>
              </w:rPr>
              <w:t xml:space="preserve">and another value will be selected for the zebrafish from a range of other reliable studies. </w:t>
            </w:r>
          </w:p>
        </w:tc>
      </w:tr>
      <w:tr w:rsidR="00824D72" w14:paraId="5A463129" w14:textId="77777777" w:rsidTr="00285DF0">
        <w:tc>
          <w:tcPr>
            <w:tcW w:w="13745" w:type="dxa"/>
            <w:gridSpan w:val="3"/>
            <w:tcBorders>
              <w:top w:val="single" w:sz="4" w:space="0" w:color="auto"/>
              <w:left w:val="single" w:sz="4" w:space="0" w:color="auto"/>
              <w:bottom w:val="single" w:sz="4" w:space="0" w:color="auto"/>
              <w:right w:val="single" w:sz="4" w:space="0" w:color="auto"/>
            </w:tcBorders>
            <w:hideMark/>
          </w:tcPr>
          <w:p w14:paraId="08810FC2" w14:textId="77777777" w:rsidR="00824D72" w:rsidRPr="004A7EDD" w:rsidRDefault="00824D72" w:rsidP="00285DF0">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B</w:t>
            </w:r>
          </w:p>
        </w:tc>
      </w:tr>
      <w:tr w:rsidR="00064189" w14:paraId="21A2670A" w14:textId="77777777" w:rsidTr="00285DF0">
        <w:tc>
          <w:tcPr>
            <w:tcW w:w="4673" w:type="dxa"/>
            <w:tcBorders>
              <w:top w:val="single" w:sz="4" w:space="0" w:color="auto"/>
              <w:left w:val="single" w:sz="4" w:space="0" w:color="auto"/>
              <w:bottom w:val="single" w:sz="4" w:space="0" w:color="auto"/>
              <w:right w:val="single" w:sz="4" w:space="0" w:color="auto"/>
            </w:tcBorders>
          </w:tcPr>
          <w:p w14:paraId="1E406E16" w14:textId="4680FEB5" w:rsidR="00064189" w:rsidRPr="007923AD" w:rsidRDefault="00064189" w:rsidP="007923AD">
            <w:pPr>
              <w:pStyle w:val="ListParagraph"/>
              <w:numPr>
                <w:ilvl w:val="0"/>
                <w:numId w:val="26"/>
              </w:numPr>
              <w:spacing w:before="60" w:after="60" w:line="240" w:lineRule="auto"/>
              <w:ind w:left="312" w:hanging="284"/>
              <w:rPr>
                <w:bCs/>
                <w:sz w:val="18"/>
                <w:szCs w:val="18"/>
              </w:rPr>
            </w:pPr>
            <w:r w:rsidRPr="007923AD">
              <w:rPr>
                <w:bCs/>
                <w:sz w:val="18"/>
                <w:szCs w:val="18"/>
              </w:rPr>
              <w:t>Concerns over the use of the Burrlioz 2.0 SSD software for deriving the DGVs.</w:t>
            </w:r>
          </w:p>
        </w:tc>
        <w:tc>
          <w:tcPr>
            <w:tcW w:w="5954" w:type="dxa"/>
            <w:tcBorders>
              <w:top w:val="single" w:sz="4" w:space="0" w:color="auto"/>
              <w:left w:val="single" w:sz="4" w:space="0" w:color="auto"/>
              <w:bottom w:val="single" w:sz="4" w:space="0" w:color="auto"/>
              <w:right w:val="single" w:sz="4" w:space="0" w:color="auto"/>
            </w:tcBorders>
          </w:tcPr>
          <w:p w14:paraId="28CC0129" w14:textId="5EEBC02F" w:rsidR="00064189" w:rsidRPr="004A7EDD" w:rsidRDefault="00064189" w:rsidP="00064189">
            <w:pPr>
              <w:spacing w:before="60" w:after="60" w:line="240" w:lineRule="auto"/>
              <w:rPr>
                <w:iCs/>
                <w:sz w:val="18"/>
                <w:szCs w:val="18"/>
              </w:rPr>
            </w:pPr>
            <w:r>
              <w:rPr>
                <w:iCs/>
                <w:sz w:val="18"/>
                <w:szCs w:val="18"/>
              </w:rPr>
              <w:t>See response to comment 1 from submission A.</w:t>
            </w:r>
          </w:p>
        </w:tc>
        <w:tc>
          <w:tcPr>
            <w:tcW w:w="3118" w:type="dxa"/>
            <w:tcBorders>
              <w:top w:val="single" w:sz="4" w:space="0" w:color="auto"/>
              <w:left w:val="single" w:sz="4" w:space="0" w:color="auto"/>
              <w:bottom w:val="single" w:sz="4" w:space="0" w:color="auto"/>
              <w:right w:val="single" w:sz="4" w:space="0" w:color="auto"/>
            </w:tcBorders>
          </w:tcPr>
          <w:p w14:paraId="35553A17" w14:textId="423CE3DC" w:rsidR="00064189" w:rsidRPr="004A7EDD" w:rsidRDefault="00064189" w:rsidP="00064189">
            <w:pPr>
              <w:spacing w:before="60" w:after="60" w:line="240" w:lineRule="auto"/>
              <w:rPr>
                <w:sz w:val="18"/>
                <w:szCs w:val="18"/>
              </w:rPr>
            </w:pPr>
            <w:r>
              <w:rPr>
                <w:sz w:val="18"/>
                <w:szCs w:val="18"/>
              </w:rPr>
              <w:t>The DGVs will be revised using the shinyssdtools software and its associated model averaging approach.</w:t>
            </w:r>
          </w:p>
        </w:tc>
      </w:tr>
      <w:tr w:rsidR="00064189" w14:paraId="072F78EF" w14:textId="77777777" w:rsidTr="00285DF0">
        <w:tc>
          <w:tcPr>
            <w:tcW w:w="4673" w:type="dxa"/>
            <w:tcBorders>
              <w:top w:val="single" w:sz="4" w:space="0" w:color="auto"/>
              <w:left w:val="single" w:sz="4" w:space="0" w:color="auto"/>
              <w:bottom w:val="single" w:sz="4" w:space="0" w:color="auto"/>
              <w:right w:val="single" w:sz="4" w:space="0" w:color="auto"/>
            </w:tcBorders>
          </w:tcPr>
          <w:p w14:paraId="270764C7" w14:textId="77777777" w:rsidR="00EF40A1" w:rsidRPr="00294081" w:rsidRDefault="00064189" w:rsidP="007923AD">
            <w:pPr>
              <w:pStyle w:val="ListParagraph"/>
              <w:numPr>
                <w:ilvl w:val="0"/>
                <w:numId w:val="26"/>
              </w:numPr>
              <w:spacing w:before="60" w:after="60" w:line="240" w:lineRule="auto"/>
              <w:ind w:left="312" w:hanging="284"/>
              <w:rPr>
                <w:rFonts w:ascii="Calibri" w:hAnsi="Calibri" w:cs="Calibri"/>
                <w:bCs/>
                <w:sz w:val="18"/>
                <w:szCs w:val="18"/>
              </w:rPr>
            </w:pPr>
            <w:r w:rsidRPr="00294081">
              <w:rPr>
                <w:rFonts w:ascii="Calibri" w:hAnsi="Calibri" w:cs="Calibri"/>
                <w:bCs/>
                <w:sz w:val="18"/>
                <w:szCs w:val="18"/>
              </w:rPr>
              <w:t xml:space="preserve">Concerns that the guidance in the technical brief on how to account for bioaccumulation of PFOS was not consistent with national policy/guidance and other DGV technical briefs. Key points raised </w:t>
            </w:r>
            <w:r w:rsidR="00EF40A1" w:rsidRPr="00294081">
              <w:rPr>
                <w:rFonts w:ascii="Calibri" w:hAnsi="Calibri" w:cs="Calibri"/>
                <w:bCs/>
                <w:sz w:val="18"/>
                <w:szCs w:val="18"/>
              </w:rPr>
              <w:t>included:</w:t>
            </w:r>
          </w:p>
          <w:p w14:paraId="67AC1585" w14:textId="3DF8AD53" w:rsidR="00EF40A1" w:rsidRPr="00294081" w:rsidRDefault="00EF40A1" w:rsidP="00EF40A1">
            <w:pPr>
              <w:pStyle w:val="ListParagraph"/>
              <w:numPr>
                <w:ilvl w:val="0"/>
                <w:numId w:val="29"/>
              </w:numPr>
              <w:spacing w:before="60" w:after="60" w:line="240" w:lineRule="auto"/>
              <w:rPr>
                <w:rFonts w:ascii="Calibri" w:hAnsi="Calibri" w:cs="Calibri"/>
                <w:bCs/>
                <w:sz w:val="18"/>
                <w:szCs w:val="18"/>
              </w:rPr>
            </w:pPr>
            <w:r w:rsidRPr="00294081">
              <w:rPr>
                <w:rFonts w:ascii="Calibri" w:hAnsi="Calibri" w:cs="Calibri"/>
                <w:bCs/>
                <w:sz w:val="18"/>
                <w:szCs w:val="18"/>
              </w:rPr>
              <w:lastRenderedPageBreak/>
              <w:t>C</w:t>
            </w:r>
            <w:r w:rsidR="00064189" w:rsidRPr="00294081">
              <w:rPr>
                <w:rFonts w:ascii="Calibri" w:hAnsi="Calibri" w:cs="Calibri"/>
                <w:bCs/>
                <w:sz w:val="18"/>
                <w:szCs w:val="18"/>
              </w:rPr>
              <w:t>onsistency</w:t>
            </w:r>
            <w:r w:rsidRPr="00294081">
              <w:rPr>
                <w:rFonts w:ascii="Calibri" w:hAnsi="Calibri" w:cs="Calibri"/>
                <w:bCs/>
                <w:sz w:val="18"/>
                <w:szCs w:val="18"/>
              </w:rPr>
              <w:t xml:space="preserve"> with national policy</w:t>
            </w:r>
          </w:p>
          <w:p w14:paraId="54FBD7E6" w14:textId="77777777" w:rsidR="00EF40A1" w:rsidRPr="00294081" w:rsidRDefault="00064189" w:rsidP="00EF40A1">
            <w:pPr>
              <w:pStyle w:val="ListParagraph"/>
              <w:numPr>
                <w:ilvl w:val="0"/>
                <w:numId w:val="29"/>
              </w:numPr>
              <w:spacing w:before="60" w:after="60" w:line="240" w:lineRule="auto"/>
              <w:rPr>
                <w:rFonts w:ascii="Calibri" w:hAnsi="Calibri" w:cs="Calibri"/>
                <w:bCs/>
                <w:sz w:val="18"/>
                <w:szCs w:val="18"/>
              </w:rPr>
            </w:pPr>
            <w:r w:rsidRPr="00294081">
              <w:rPr>
                <w:rFonts w:ascii="Calibri" w:hAnsi="Calibri" w:cs="Calibri"/>
                <w:bCs/>
                <w:sz w:val="18"/>
                <w:szCs w:val="18"/>
              </w:rPr>
              <w:t xml:space="preserve">animal ethics considerations </w:t>
            </w:r>
          </w:p>
          <w:p w14:paraId="6E57A693" w14:textId="101FFC89" w:rsidR="002C20E8" w:rsidRPr="00401B9D" w:rsidRDefault="00064189" w:rsidP="00401B9D">
            <w:pPr>
              <w:pStyle w:val="ListParagraph"/>
              <w:numPr>
                <w:ilvl w:val="0"/>
                <w:numId w:val="29"/>
              </w:numPr>
              <w:spacing w:before="60" w:after="60" w:line="240" w:lineRule="auto"/>
              <w:rPr>
                <w:rFonts w:ascii="Calibri" w:hAnsi="Calibri" w:cs="Calibri"/>
                <w:bCs/>
                <w:sz w:val="18"/>
                <w:szCs w:val="18"/>
              </w:rPr>
            </w:pPr>
            <w:r w:rsidRPr="00294081">
              <w:rPr>
                <w:rFonts w:ascii="Calibri" w:hAnsi="Calibri" w:cs="Calibri"/>
                <w:bCs/>
                <w:sz w:val="18"/>
                <w:szCs w:val="18"/>
              </w:rPr>
              <w:t>when biota sampling may be appropriate</w:t>
            </w:r>
            <w:r w:rsidR="00401B9D">
              <w:rPr>
                <w:rFonts w:ascii="Calibri" w:hAnsi="Calibri" w:cs="Calibri"/>
                <w:bCs/>
                <w:sz w:val="18"/>
                <w:szCs w:val="18"/>
              </w:rPr>
              <w:t>.</w:t>
            </w:r>
          </w:p>
        </w:tc>
        <w:tc>
          <w:tcPr>
            <w:tcW w:w="5954" w:type="dxa"/>
            <w:tcBorders>
              <w:top w:val="single" w:sz="4" w:space="0" w:color="auto"/>
              <w:left w:val="single" w:sz="4" w:space="0" w:color="auto"/>
              <w:bottom w:val="single" w:sz="4" w:space="0" w:color="auto"/>
              <w:right w:val="single" w:sz="4" w:space="0" w:color="auto"/>
            </w:tcBorders>
          </w:tcPr>
          <w:p w14:paraId="339E3B3B" w14:textId="1DE7E10A" w:rsidR="00294081" w:rsidRPr="00BE1577" w:rsidRDefault="00AD077B" w:rsidP="00064189">
            <w:pPr>
              <w:spacing w:before="60" w:after="60" w:line="240" w:lineRule="auto"/>
              <w:rPr>
                <w:sz w:val="18"/>
                <w:szCs w:val="18"/>
              </w:rPr>
            </w:pPr>
            <w:r>
              <w:rPr>
                <w:iCs/>
                <w:sz w:val="18"/>
                <w:szCs w:val="18"/>
                <w:lang w:val="en-US"/>
              </w:rPr>
              <w:lastRenderedPageBreak/>
              <w:t xml:space="preserve">It should be noted that the </w:t>
            </w:r>
            <w:r>
              <w:rPr>
                <w:sz w:val="18"/>
                <w:szCs w:val="18"/>
              </w:rPr>
              <w:t>information in ANZG (2018) and ANZECC/ARMCANZ (2000) represents guidance, and is not policy as such.</w:t>
            </w:r>
            <w:r w:rsidR="00BE1577">
              <w:rPr>
                <w:sz w:val="18"/>
                <w:szCs w:val="18"/>
              </w:rPr>
              <w:t xml:space="preserve"> </w:t>
            </w:r>
            <w:r w:rsidR="00294081">
              <w:rPr>
                <w:iCs/>
                <w:sz w:val="18"/>
                <w:szCs w:val="18"/>
                <w:lang w:val="en-US"/>
              </w:rPr>
              <w:t>P</w:t>
            </w:r>
            <w:r w:rsidR="00294081" w:rsidRPr="00294081">
              <w:rPr>
                <w:iCs/>
                <w:sz w:val="18"/>
                <w:szCs w:val="18"/>
                <w:lang w:val="en-US"/>
              </w:rPr>
              <w:t xml:space="preserve">ublished data </w:t>
            </w:r>
            <w:r w:rsidR="00BD0CDF">
              <w:rPr>
                <w:iCs/>
                <w:sz w:val="18"/>
                <w:szCs w:val="18"/>
                <w:lang w:val="en-US"/>
              </w:rPr>
              <w:t>for PFOS show</w:t>
            </w:r>
            <w:r w:rsidR="00294081" w:rsidRPr="00294081">
              <w:rPr>
                <w:iCs/>
                <w:sz w:val="18"/>
                <w:szCs w:val="18"/>
                <w:lang w:val="en-US"/>
              </w:rPr>
              <w:t xml:space="preserve"> that meeting the </w:t>
            </w:r>
            <w:r w:rsidR="00294081">
              <w:rPr>
                <w:iCs/>
                <w:sz w:val="18"/>
                <w:szCs w:val="18"/>
                <w:lang w:val="en-US"/>
              </w:rPr>
              <w:t xml:space="preserve">draft </w:t>
            </w:r>
            <w:r w:rsidR="00294081" w:rsidRPr="00294081">
              <w:rPr>
                <w:iCs/>
                <w:sz w:val="18"/>
                <w:szCs w:val="18"/>
                <w:lang w:val="en-US"/>
              </w:rPr>
              <w:t xml:space="preserve">99% species protection DGV </w:t>
            </w:r>
            <w:r w:rsidR="00294081">
              <w:rPr>
                <w:iCs/>
                <w:sz w:val="18"/>
                <w:szCs w:val="18"/>
                <w:lang w:val="en-US"/>
              </w:rPr>
              <w:t xml:space="preserve">of 0.0091 </w:t>
            </w:r>
            <w:r w:rsidR="00294081">
              <w:rPr>
                <w:rFonts w:cs="Calibri"/>
                <w:iCs/>
                <w:sz w:val="18"/>
                <w:szCs w:val="18"/>
                <w:lang w:val="en-US"/>
              </w:rPr>
              <w:t>µ</w:t>
            </w:r>
            <w:r w:rsidR="00294081">
              <w:rPr>
                <w:iCs/>
                <w:sz w:val="18"/>
                <w:szCs w:val="18"/>
                <w:lang w:val="en-US"/>
              </w:rPr>
              <w:t xml:space="preserve">g/L </w:t>
            </w:r>
            <w:r w:rsidR="00294081" w:rsidRPr="00294081">
              <w:rPr>
                <w:iCs/>
                <w:sz w:val="18"/>
                <w:szCs w:val="18"/>
                <w:lang w:val="en-US"/>
              </w:rPr>
              <w:t>does not necessarily mean that tissue concentrations in aquatic biota will be below relevant wildlife protection values</w:t>
            </w:r>
            <w:r w:rsidR="00BD0CDF">
              <w:rPr>
                <w:iCs/>
                <w:sz w:val="18"/>
                <w:szCs w:val="18"/>
                <w:lang w:val="en-US"/>
              </w:rPr>
              <w:t xml:space="preserve"> </w:t>
            </w:r>
            <w:r w:rsidR="00BD0CDF" w:rsidRPr="00294081">
              <w:rPr>
                <w:iCs/>
                <w:sz w:val="18"/>
                <w:szCs w:val="18"/>
                <w:lang w:val="en-US"/>
              </w:rPr>
              <w:t xml:space="preserve">(i.e. Baddiley et </w:t>
            </w:r>
            <w:r w:rsidR="00BD0CDF" w:rsidRPr="00294081">
              <w:rPr>
                <w:iCs/>
                <w:sz w:val="18"/>
                <w:szCs w:val="18"/>
                <w:lang w:val="en-US"/>
              </w:rPr>
              <w:lastRenderedPageBreak/>
              <w:t>al. 2020)</w:t>
            </w:r>
            <w:r w:rsidR="00294081" w:rsidRPr="00294081">
              <w:rPr>
                <w:iCs/>
                <w:sz w:val="18"/>
                <w:szCs w:val="18"/>
                <w:lang w:val="en-US"/>
              </w:rPr>
              <w:t>. Given this evidence is now available, it is considered that it is reasonable and valid to include statements that may differ from other DGVs where such evidence is lacking</w:t>
            </w:r>
            <w:r w:rsidR="00BD0CDF">
              <w:rPr>
                <w:iCs/>
                <w:sz w:val="18"/>
                <w:szCs w:val="18"/>
                <w:lang w:val="en-US"/>
              </w:rPr>
              <w:t xml:space="preserve">. </w:t>
            </w:r>
            <w:r w:rsidR="00BD0CDF" w:rsidRPr="00BD0CDF">
              <w:rPr>
                <w:iCs/>
                <w:sz w:val="18"/>
                <w:szCs w:val="18"/>
                <w:lang w:val="en-US"/>
              </w:rPr>
              <w:t xml:space="preserve">Moreover, </w:t>
            </w:r>
            <w:r>
              <w:rPr>
                <w:iCs/>
                <w:sz w:val="18"/>
                <w:szCs w:val="18"/>
                <w:lang w:val="en-US"/>
              </w:rPr>
              <w:t xml:space="preserve">both </w:t>
            </w:r>
            <w:r w:rsidR="00BD0CDF" w:rsidRPr="00BD0CDF">
              <w:rPr>
                <w:iCs/>
                <w:sz w:val="18"/>
                <w:szCs w:val="18"/>
                <w:lang w:val="en-US"/>
              </w:rPr>
              <w:t xml:space="preserve">ANZG (2018) </w:t>
            </w:r>
            <w:r>
              <w:rPr>
                <w:iCs/>
                <w:sz w:val="18"/>
                <w:szCs w:val="18"/>
                <w:lang w:val="en-US"/>
              </w:rPr>
              <w:t xml:space="preserve">and ANZECC/ARMCANZ (2000) </w:t>
            </w:r>
            <w:r w:rsidR="00BD0CDF" w:rsidRPr="00BD0CDF">
              <w:rPr>
                <w:iCs/>
                <w:sz w:val="18"/>
                <w:szCs w:val="18"/>
                <w:lang w:val="en-US"/>
              </w:rPr>
              <w:t>clearly state that the guidance to use the 99% species protection DGV for bioaccumulative compounds is arbitrary and not based on any evidence of biological protection</w:t>
            </w:r>
            <w:r w:rsidR="00BD0CDF">
              <w:rPr>
                <w:iCs/>
                <w:sz w:val="18"/>
                <w:szCs w:val="18"/>
                <w:lang w:val="en-US"/>
              </w:rPr>
              <w:t>.</w:t>
            </w:r>
            <w:r w:rsidR="00BE1577">
              <w:rPr>
                <w:iCs/>
                <w:sz w:val="18"/>
                <w:szCs w:val="18"/>
                <w:lang w:val="en-US"/>
              </w:rPr>
              <w:t xml:space="preserve"> </w:t>
            </w:r>
            <w:r w:rsidR="009C4F06">
              <w:rPr>
                <w:sz w:val="18"/>
                <w:szCs w:val="18"/>
              </w:rPr>
              <w:t xml:space="preserve">Neither ANZG (2018) nor ANZECC/ARMCANZ (2000) state that using the 99% </w:t>
            </w:r>
            <w:r w:rsidR="002C20E8" w:rsidRPr="00294081">
              <w:rPr>
                <w:iCs/>
                <w:sz w:val="18"/>
                <w:szCs w:val="18"/>
                <w:lang w:val="en-US"/>
              </w:rPr>
              <w:t xml:space="preserve">species protection </w:t>
            </w:r>
            <w:r w:rsidR="009C4F06">
              <w:rPr>
                <w:sz w:val="18"/>
                <w:szCs w:val="18"/>
              </w:rPr>
              <w:t xml:space="preserve">DGV will always provide adequate protection from bioaccumulative compounds and that no other assessment is required. Note that both sets of guidelines clearly promote a multiple lines of evidence approach to water quality assessment, whereby basing conclusions and decisions on comparisons with guideline values alone </w:t>
            </w:r>
            <w:r w:rsidR="002C20E8">
              <w:rPr>
                <w:sz w:val="18"/>
                <w:szCs w:val="18"/>
              </w:rPr>
              <w:t>can be</w:t>
            </w:r>
            <w:r w:rsidR="009C4F06">
              <w:rPr>
                <w:sz w:val="18"/>
                <w:szCs w:val="18"/>
              </w:rPr>
              <w:t xml:space="preserve"> insufficient. </w:t>
            </w:r>
            <w:r w:rsidR="00BE1577">
              <w:rPr>
                <w:iCs/>
                <w:sz w:val="18"/>
                <w:szCs w:val="18"/>
              </w:rPr>
              <w:t xml:space="preserve">The PFOS independent review committee (Dawson et al. 2024) recommended that the </w:t>
            </w:r>
            <w:r w:rsidR="009C4F06">
              <w:rPr>
                <w:iCs/>
                <w:sz w:val="18"/>
                <w:szCs w:val="18"/>
              </w:rPr>
              <w:t xml:space="preserve">bioaccumulation </w:t>
            </w:r>
            <w:r w:rsidR="00BE1577">
              <w:rPr>
                <w:iCs/>
                <w:sz w:val="18"/>
                <w:szCs w:val="18"/>
              </w:rPr>
              <w:t xml:space="preserve">guidance in the draft technical brief be retained as is. </w:t>
            </w:r>
            <w:r w:rsidR="00294081">
              <w:rPr>
                <w:iCs/>
                <w:sz w:val="18"/>
                <w:szCs w:val="18"/>
              </w:rPr>
              <w:t>Refer to the accompanying PFOS independent review committee report for details (Dawson et al. 2024).</w:t>
            </w:r>
          </w:p>
        </w:tc>
        <w:tc>
          <w:tcPr>
            <w:tcW w:w="3118" w:type="dxa"/>
            <w:tcBorders>
              <w:top w:val="single" w:sz="4" w:space="0" w:color="auto"/>
              <w:left w:val="single" w:sz="4" w:space="0" w:color="auto"/>
              <w:bottom w:val="single" w:sz="4" w:space="0" w:color="auto"/>
              <w:right w:val="single" w:sz="4" w:space="0" w:color="auto"/>
            </w:tcBorders>
          </w:tcPr>
          <w:p w14:paraId="58531A94" w14:textId="70E9BE91" w:rsidR="00064189" w:rsidRPr="004A7EDD" w:rsidRDefault="00BE1577" w:rsidP="00064189">
            <w:pPr>
              <w:spacing w:before="60" w:after="60" w:line="240" w:lineRule="auto"/>
              <w:rPr>
                <w:sz w:val="18"/>
                <w:szCs w:val="18"/>
              </w:rPr>
            </w:pPr>
            <w:r>
              <w:rPr>
                <w:sz w:val="18"/>
                <w:szCs w:val="18"/>
              </w:rPr>
              <w:lastRenderedPageBreak/>
              <w:t xml:space="preserve">No action required. </w:t>
            </w:r>
          </w:p>
        </w:tc>
      </w:tr>
      <w:tr w:rsidR="00064189" w14:paraId="653C60EB" w14:textId="77777777" w:rsidTr="00285DF0">
        <w:tc>
          <w:tcPr>
            <w:tcW w:w="4673" w:type="dxa"/>
            <w:tcBorders>
              <w:top w:val="single" w:sz="4" w:space="0" w:color="auto"/>
              <w:left w:val="single" w:sz="4" w:space="0" w:color="auto"/>
              <w:bottom w:val="single" w:sz="4" w:space="0" w:color="auto"/>
              <w:right w:val="single" w:sz="4" w:space="0" w:color="auto"/>
            </w:tcBorders>
          </w:tcPr>
          <w:p w14:paraId="433F2225" w14:textId="1C874ABD" w:rsidR="00064189" w:rsidRPr="007923AD" w:rsidRDefault="00064189" w:rsidP="007923AD">
            <w:pPr>
              <w:pStyle w:val="ListParagraph"/>
              <w:numPr>
                <w:ilvl w:val="0"/>
                <w:numId w:val="26"/>
              </w:numPr>
              <w:spacing w:before="60" w:after="60" w:line="240" w:lineRule="auto"/>
              <w:ind w:left="312" w:hanging="284"/>
              <w:rPr>
                <w:bCs/>
                <w:sz w:val="18"/>
                <w:szCs w:val="18"/>
              </w:rPr>
            </w:pPr>
            <w:r w:rsidRPr="007923AD">
              <w:rPr>
                <w:bCs/>
                <w:sz w:val="18"/>
                <w:szCs w:val="18"/>
              </w:rPr>
              <w:t xml:space="preserve">Concerns over the inclusion of the </w:t>
            </w:r>
            <w:r w:rsidRPr="007923AD">
              <w:rPr>
                <w:bCs/>
                <w:i/>
                <w:iCs/>
                <w:sz w:val="18"/>
                <w:szCs w:val="18"/>
              </w:rPr>
              <w:t>Danio rerio</w:t>
            </w:r>
            <w:r w:rsidRPr="007923AD">
              <w:rPr>
                <w:bCs/>
                <w:sz w:val="18"/>
                <w:szCs w:val="18"/>
              </w:rPr>
              <w:t xml:space="preserve"> (zebrafish) multigenerational study by Keiter et al. (2012).</w:t>
            </w:r>
          </w:p>
        </w:tc>
        <w:tc>
          <w:tcPr>
            <w:tcW w:w="5954" w:type="dxa"/>
            <w:tcBorders>
              <w:top w:val="single" w:sz="4" w:space="0" w:color="auto"/>
              <w:left w:val="single" w:sz="4" w:space="0" w:color="auto"/>
              <w:bottom w:val="single" w:sz="4" w:space="0" w:color="auto"/>
              <w:right w:val="single" w:sz="4" w:space="0" w:color="auto"/>
            </w:tcBorders>
          </w:tcPr>
          <w:p w14:paraId="680DBD8E" w14:textId="7B406763" w:rsidR="00064189" w:rsidRPr="004A7EDD" w:rsidRDefault="00064189" w:rsidP="00064189">
            <w:pPr>
              <w:spacing w:before="60" w:after="60" w:line="240" w:lineRule="auto"/>
              <w:rPr>
                <w:iCs/>
                <w:sz w:val="18"/>
                <w:szCs w:val="18"/>
              </w:rPr>
            </w:pPr>
            <w:r>
              <w:rPr>
                <w:iCs/>
                <w:sz w:val="18"/>
                <w:szCs w:val="18"/>
              </w:rPr>
              <w:t>See response to comment 2 from submission A.</w:t>
            </w:r>
          </w:p>
        </w:tc>
        <w:tc>
          <w:tcPr>
            <w:tcW w:w="3118" w:type="dxa"/>
            <w:tcBorders>
              <w:top w:val="single" w:sz="4" w:space="0" w:color="auto"/>
              <w:left w:val="single" w:sz="4" w:space="0" w:color="auto"/>
              <w:bottom w:val="single" w:sz="4" w:space="0" w:color="auto"/>
              <w:right w:val="single" w:sz="4" w:space="0" w:color="auto"/>
            </w:tcBorders>
          </w:tcPr>
          <w:p w14:paraId="722DE1CD" w14:textId="396B1B16" w:rsidR="00064189" w:rsidRPr="004A7EDD" w:rsidRDefault="00064189" w:rsidP="00064189">
            <w:pPr>
              <w:spacing w:before="60" w:after="60" w:line="240" w:lineRule="auto"/>
              <w:rPr>
                <w:sz w:val="18"/>
                <w:szCs w:val="18"/>
              </w:rPr>
            </w:pPr>
            <w:r>
              <w:rPr>
                <w:sz w:val="18"/>
                <w:szCs w:val="18"/>
              </w:rPr>
              <w:t xml:space="preserve">The Keiter et al. (2012) study will be removed from the final dataset and another value will be selected for the zebrafish from a range of other reliable studies. </w:t>
            </w:r>
          </w:p>
        </w:tc>
      </w:tr>
      <w:tr w:rsidR="00064189" w14:paraId="321FF2BA" w14:textId="77777777" w:rsidTr="00285DF0">
        <w:tc>
          <w:tcPr>
            <w:tcW w:w="4673" w:type="dxa"/>
            <w:tcBorders>
              <w:top w:val="single" w:sz="4" w:space="0" w:color="auto"/>
              <w:left w:val="single" w:sz="4" w:space="0" w:color="auto"/>
              <w:bottom w:val="single" w:sz="4" w:space="0" w:color="auto"/>
              <w:right w:val="single" w:sz="4" w:space="0" w:color="auto"/>
            </w:tcBorders>
          </w:tcPr>
          <w:p w14:paraId="585F0357" w14:textId="6DF121FB" w:rsidR="00064189" w:rsidRPr="007923AD" w:rsidRDefault="00064189" w:rsidP="007923AD">
            <w:pPr>
              <w:pStyle w:val="ListParagraph"/>
              <w:numPr>
                <w:ilvl w:val="0"/>
                <w:numId w:val="26"/>
              </w:numPr>
              <w:spacing w:before="60" w:after="60" w:line="240" w:lineRule="auto"/>
              <w:ind w:left="312" w:hanging="284"/>
              <w:rPr>
                <w:bCs/>
                <w:sz w:val="18"/>
                <w:szCs w:val="18"/>
              </w:rPr>
            </w:pPr>
            <w:r w:rsidRPr="007923AD">
              <w:rPr>
                <w:bCs/>
                <w:sz w:val="18"/>
                <w:szCs w:val="18"/>
              </w:rPr>
              <w:t xml:space="preserve">Concerns over limitations of the data quality </w:t>
            </w:r>
            <w:r w:rsidR="005A74AE" w:rsidRPr="007923AD">
              <w:rPr>
                <w:bCs/>
                <w:sz w:val="18"/>
                <w:szCs w:val="18"/>
              </w:rPr>
              <w:t xml:space="preserve">scoring </w:t>
            </w:r>
            <w:r w:rsidRPr="007923AD">
              <w:rPr>
                <w:bCs/>
                <w:sz w:val="18"/>
                <w:szCs w:val="18"/>
              </w:rPr>
              <w:t>process used for the Warne et al. (2018) DGVs derivation method.</w:t>
            </w:r>
          </w:p>
        </w:tc>
        <w:tc>
          <w:tcPr>
            <w:tcW w:w="5954" w:type="dxa"/>
            <w:tcBorders>
              <w:top w:val="single" w:sz="4" w:space="0" w:color="auto"/>
              <w:left w:val="single" w:sz="4" w:space="0" w:color="auto"/>
              <w:bottom w:val="single" w:sz="4" w:space="0" w:color="auto"/>
              <w:right w:val="single" w:sz="4" w:space="0" w:color="auto"/>
            </w:tcBorders>
          </w:tcPr>
          <w:p w14:paraId="501016FE" w14:textId="494111D4" w:rsidR="005A74AE" w:rsidRPr="004A7EDD" w:rsidRDefault="00064189" w:rsidP="00064189">
            <w:pPr>
              <w:spacing w:before="60" w:after="60" w:line="240" w:lineRule="auto"/>
              <w:rPr>
                <w:iCs/>
                <w:sz w:val="18"/>
                <w:szCs w:val="18"/>
              </w:rPr>
            </w:pPr>
            <w:r>
              <w:rPr>
                <w:iCs/>
                <w:sz w:val="18"/>
                <w:szCs w:val="18"/>
              </w:rPr>
              <w:t xml:space="preserve">These concerns have been noted. It is acknowledged that the data quality </w:t>
            </w:r>
            <w:r w:rsidR="005A74AE">
              <w:rPr>
                <w:iCs/>
                <w:sz w:val="18"/>
                <w:szCs w:val="18"/>
              </w:rPr>
              <w:t xml:space="preserve">scoring </w:t>
            </w:r>
            <w:r>
              <w:rPr>
                <w:iCs/>
                <w:sz w:val="18"/>
                <w:szCs w:val="18"/>
              </w:rPr>
              <w:t xml:space="preserve">process, while useful overall, has a limited ability to </w:t>
            </w:r>
            <w:r w:rsidR="005A74AE">
              <w:rPr>
                <w:iCs/>
                <w:sz w:val="18"/>
                <w:szCs w:val="18"/>
              </w:rPr>
              <w:t>identify unreliable studies. Notably, Warne et al. (2018) clearly states that the data quality scoring process should not be solely relied upon when making decisions on the inclusion of data. Nevertheless, it is acknowledged that the DGVs derivation method would benefit from an update of the data quality scoring process, such that it is less weighted towards the reporting of specific test conditions and more weighted towards factors that more closely align with test reliability, including (but not limited to) the use of measured contaminant concentrations, the presence of an adequate concentration-response relationship, the use of an appropriate statistical method, and the use and reporting of reference toxicity test results. Consequently, the data quality scoring process will be updated as part of the update of the Warne et al. (2018) derivation method that is currently underway.</w:t>
            </w:r>
          </w:p>
        </w:tc>
        <w:tc>
          <w:tcPr>
            <w:tcW w:w="3118" w:type="dxa"/>
            <w:tcBorders>
              <w:top w:val="single" w:sz="4" w:space="0" w:color="auto"/>
              <w:left w:val="single" w:sz="4" w:space="0" w:color="auto"/>
              <w:bottom w:val="single" w:sz="4" w:space="0" w:color="auto"/>
              <w:right w:val="single" w:sz="4" w:space="0" w:color="auto"/>
            </w:tcBorders>
          </w:tcPr>
          <w:p w14:paraId="144EE7D1" w14:textId="6991D88B" w:rsidR="00064189" w:rsidRPr="004A7EDD" w:rsidRDefault="005A74AE" w:rsidP="00064189">
            <w:pPr>
              <w:spacing w:before="60" w:after="60" w:line="240" w:lineRule="auto"/>
              <w:rPr>
                <w:sz w:val="18"/>
                <w:szCs w:val="18"/>
              </w:rPr>
            </w:pPr>
            <w:r>
              <w:rPr>
                <w:sz w:val="18"/>
                <w:szCs w:val="18"/>
              </w:rPr>
              <w:t xml:space="preserve">The data quality scoring process will be updated to improve its ability to identify data reliability. However, this is unlikely to be done within the timeframe of the revisions to the PFOS freshwater DGVs. The thorough review process that has been undertaken for the PFOS freshwater DGVs is sufficient to have confidence in the data selections. </w:t>
            </w:r>
          </w:p>
        </w:tc>
      </w:tr>
      <w:tr w:rsidR="00064189" w14:paraId="1863EB2A" w14:textId="77777777" w:rsidTr="00285DF0">
        <w:tc>
          <w:tcPr>
            <w:tcW w:w="13745" w:type="dxa"/>
            <w:gridSpan w:val="3"/>
            <w:tcBorders>
              <w:top w:val="single" w:sz="4" w:space="0" w:color="auto"/>
              <w:left w:val="single" w:sz="4" w:space="0" w:color="auto"/>
              <w:bottom w:val="single" w:sz="4" w:space="0" w:color="auto"/>
              <w:right w:val="single" w:sz="4" w:space="0" w:color="auto"/>
            </w:tcBorders>
          </w:tcPr>
          <w:p w14:paraId="63503DE8" w14:textId="77777777" w:rsidR="00064189" w:rsidRPr="004A7EDD" w:rsidRDefault="00064189" w:rsidP="00064189">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C</w:t>
            </w:r>
          </w:p>
        </w:tc>
      </w:tr>
      <w:tr w:rsidR="00064189" w14:paraId="7E7C007D" w14:textId="77777777" w:rsidTr="00285DF0">
        <w:tc>
          <w:tcPr>
            <w:tcW w:w="4673" w:type="dxa"/>
            <w:tcBorders>
              <w:top w:val="single" w:sz="4" w:space="0" w:color="auto"/>
              <w:left w:val="single" w:sz="4" w:space="0" w:color="auto"/>
              <w:bottom w:val="single" w:sz="4" w:space="0" w:color="auto"/>
              <w:right w:val="single" w:sz="4" w:space="0" w:color="auto"/>
            </w:tcBorders>
          </w:tcPr>
          <w:p w14:paraId="3B37D89E" w14:textId="69FFE1C1" w:rsidR="00064189" w:rsidRPr="007B3695" w:rsidRDefault="007923AD" w:rsidP="007B3695">
            <w:pPr>
              <w:pStyle w:val="ListParagraph"/>
              <w:numPr>
                <w:ilvl w:val="0"/>
                <w:numId w:val="30"/>
              </w:numPr>
              <w:spacing w:before="60" w:after="60" w:line="240" w:lineRule="auto"/>
              <w:ind w:left="312" w:hanging="284"/>
              <w:rPr>
                <w:rFonts w:cs="Calibri"/>
                <w:bCs/>
                <w:sz w:val="18"/>
                <w:szCs w:val="18"/>
              </w:rPr>
            </w:pPr>
            <w:r w:rsidRPr="007B3695">
              <w:rPr>
                <w:rFonts w:cs="Calibri"/>
                <w:bCs/>
                <w:sz w:val="18"/>
                <w:szCs w:val="18"/>
              </w:rPr>
              <w:lastRenderedPageBreak/>
              <w:t>Concerns that the toxicity data screening and associated selections were unclear and inconsistent with official rules for DGV derivation. The issues raised included:</w:t>
            </w:r>
          </w:p>
          <w:p w14:paraId="1A14EE09" w14:textId="53962E59" w:rsidR="007923AD" w:rsidRDefault="007923AD" w:rsidP="007923AD">
            <w:pPr>
              <w:pStyle w:val="ListParagraph"/>
              <w:numPr>
                <w:ilvl w:val="0"/>
                <w:numId w:val="25"/>
              </w:numPr>
              <w:spacing w:before="60" w:after="60" w:line="240" w:lineRule="auto"/>
              <w:rPr>
                <w:rFonts w:ascii="Calibri" w:hAnsi="Calibri" w:cs="Calibri"/>
                <w:bCs/>
                <w:sz w:val="18"/>
                <w:szCs w:val="18"/>
              </w:rPr>
            </w:pPr>
            <w:r w:rsidRPr="007923AD">
              <w:rPr>
                <w:rFonts w:ascii="Calibri" w:hAnsi="Calibri" w:cs="Calibri"/>
                <w:bCs/>
                <w:sz w:val="18"/>
                <w:szCs w:val="18"/>
              </w:rPr>
              <w:t>Where test concentrations differed</w:t>
            </w:r>
            <w:r>
              <w:rPr>
                <w:rFonts w:ascii="Calibri" w:hAnsi="Calibri" w:cs="Calibri"/>
                <w:bCs/>
                <w:sz w:val="18"/>
                <w:szCs w:val="18"/>
              </w:rPr>
              <w:t xml:space="preserve"> by 10-fold or more</w:t>
            </w:r>
          </w:p>
          <w:p w14:paraId="2DC90827" w14:textId="437CDE61" w:rsidR="007923AD" w:rsidRDefault="007923AD" w:rsidP="007923AD">
            <w:pPr>
              <w:pStyle w:val="ListParagraph"/>
              <w:numPr>
                <w:ilvl w:val="0"/>
                <w:numId w:val="25"/>
              </w:numPr>
              <w:spacing w:before="60" w:after="60" w:line="240" w:lineRule="auto"/>
              <w:rPr>
                <w:rFonts w:ascii="Calibri" w:hAnsi="Calibri" w:cs="Calibri"/>
                <w:bCs/>
                <w:sz w:val="18"/>
                <w:szCs w:val="18"/>
              </w:rPr>
            </w:pPr>
            <w:r>
              <w:rPr>
                <w:rFonts w:ascii="Calibri" w:hAnsi="Calibri" w:cs="Calibri"/>
                <w:bCs/>
                <w:sz w:val="18"/>
                <w:szCs w:val="18"/>
              </w:rPr>
              <w:t>Studies that used only one exposure concentration (in addition to a control)</w:t>
            </w:r>
          </w:p>
          <w:p w14:paraId="4C38DCDC" w14:textId="286C051C" w:rsidR="007923AD" w:rsidRDefault="007923AD" w:rsidP="007923AD">
            <w:pPr>
              <w:pStyle w:val="ListParagraph"/>
              <w:numPr>
                <w:ilvl w:val="0"/>
                <w:numId w:val="25"/>
              </w:numPr>
              <w:spacing w:before="60" w:after="60" w:line="240" w:lineRule="auto"/>
              <w:rPr>
                <w:rFonts w:ascii="Calibri" w:hAnsi="Calibri" w:cs="Calibri"/>
                <w:bCs/>
                <w:sz w:val="18"/>
                <w:szCs w:val="18"/>
              </w:rPr>
            </w:pPr>
            <w:r>
              <w:rPr>
                <w:rFonts w:ascii="Calibri" w:hAnsi="Calibri" w:cs="Calibri"/>
                <w:bCs/>
                <w:sz w:val="18"/>
                <w:szCs w:val="18"/>
              </w:rPr>
              <w:t>Where data selection decisions were inconsistent with the Warne et al. (2018) hierarchy of acceptable toxicity estimates</w:t>
            </w:r>
          </w:p>
          <w:p w14:paraId="4C4163BA" w14:textId="1871B824" w:rsidR="007923AD" w:rsidRPr="007923AD" w:rsidRDefault="007923AD" w:rsidP="007923AD">
            <w:pPr>
              <w:pStyle w:val="ListParagraph"/>
              <w:numPr>
                <w:ilvl w:val="0"/>
                <w:numId w:val="25"/>
              </w:numPr>
              <w:spacing w:before="60" w:after="60" w:line="240" w:lineRule="auto"/>
              <w:rPr>
                <w:rFonts w:ascii="Calibri" w:hAnsi="Calibri" w:cs="Calibri"/>
                <w:bCs/>
                <w:sz w:val="18"/>
                <w:szCs w:val="18"/>
              </w:rPr>
            </w:pPr>
            <w:r>
              <w:rPr>
                <w:rFonts w:ascii="Calibri" w:hAnsi="Calibri" w:cs="Calibri"/>
                <w:bCs/>
                <w:sz w:val="18"/>
                <w:szCs w:val="18"/>
              </w:rPr>
              <w:t xml:space="preserve">Where rules for calculation of geometric means for toxicity data were not followed. </w:t>
            </w:r>
          </w:p>
        </w:tc>
        <w:tc>
          <w:tcPr>
            <w:tcW w:w="5954" w:type="dxa"/>
            <w:tcBorders>
              <w:top w:val="single" w:sz="4" w:space="0" w:color="auto"/>
              <w:left w:val="single" w:sz="4" w:space="0" w:color="auto"/>
              <w:bottom w:val="single" w:sz="4" w:space="0" w:color="auto"/>
              <w:right w:val="single" w:sz="4" w:space="0" w:color="auto"/>
            </w:tcBorders>
          </w:tcPr>
          <w:p w14:paraId="039BBCA0" w14:textId="3E27CD34" w:rsidR="00064189" w:rsidRPr="004A7EDD" w:rsidRDefault="007923AD" w:rsidP="00064189">
            <w:pPr>
              <w:spacing w:before="60" w:after="60" w:line="240" w:lineRule="auto"/>
              <w:rPr>
                <w:iCs/>
                <w:sz w:val="18"/>
                <w:szCs w:val="18"/>
              </w:rPr>
            </w:pPr>
            <w:r>
              <w:rPr>
                <w:iCs/>
                <w:sz w:val="18"/>
                <w:szCs w:val="18"/>
              </w:rPr>
              <w:t xml:space="preserve">Warne et al. (2018) makes it clear that there may be a significant amount of professional judgement required when making data selection decisions, and that all </w:t>
            </w:r>
            <w:r w:rsidR="006423A0">
              <w:rPr>
                <w:iCs/>
                <w:sz w:val="18"/>
                <w:szCs w:val="18"/>
              </w:rPr>
              <w:t>such</w:t>
            </w:r>
            <w:r>
              <w:rPr>
                <w:iCs/>
                <w:sz w:val="18"/>
                <w:szCs w:val="18"/>
              </w:rPr>
              <w:t xml:space="preserve"> decisions should be clearly justified in the technical brief. This means that it is possible that different experts could arrive at different decisions. In addressing this comment, all data selection decisions that fell into the categories listed </w:t>
            </w:r>
            <w:r w:rsidR="006423A0">
              <w:rPr>
                <w:iCs/>
                <w:sz w:val="18"/>
                <w:szCs w:val="18"/>
              </w:rPr>
              <w:t>by the submitter</w:t>
            </w:r>
            <w:r>
              <w:rPr>
                <w:iCs/>
                <w:sz w:val="18"/>
                <w:szCs w:val="18"/>
              </w:rPr>
              <w:t xml:space="preserve"> were independently reviewed</w:t>
            </w:r>
            <w:r w:rsidR="006423A0">
              <w:rPr>
                <w:iCs/>
                <w:sz w:val="18"/>
                <w:szCs w:val="18"/>
              </w:rPr>
              <w:t>. The outcomes of this review can be seen in the accompanying PFOS independent review committee report (</w:t>
            </w:r>
            <w:r w:rsidR="00294081">
              <w:rPr>
                <w:iCs/>
                <w:sz w:val="18"/>
                <w:szCs w:val="18"/>
              </w:rPr>
              <w:t>Dawson et al.</w:t>
            </w:r>
            <w:r w:rsidR="006423A0">
              <w:rPr>
                <w:iCs/>
                <w:sz w:val="18"/>
                <w:szCs w:val="18"/>
              </w:rPr>
              <w:t xml:space="preserve"> 2024). The recommendations of this report will be used to inform the revision of the PFOS freshwater DGVs dataset.</w:t>
            </w:r>
          </w:p>
        </w:tc>
        <w:tc>
          <w:tcPr>
            <w:tcW w:w="3118" w:type="dxa"/>
            <w:tcBorders>
              <w:top w:val="single" w:sz="4" w:space="0" w:color="auto"/>
              <w:left w:val="single" w:sz="4" w:space="0" w:color="auto"/>
              <w:bottom w:val="single" w:sz="4" w:space="0" w:color="auto"/>
              <w:right w:val="single" w:sz="4" w:space="0" w:color="auto"/>
            </w:tcBorders>
          </w:tcPr>
          <w:p w14:paraId="08A008BD" w14:textId="3254F7AB" w:rsidR="00064189" w:rsidRPr="004A7EDD" w:rsidRDefault="006423A0" w:rsidP="00064189">
            <w:pPr>
              <w:spacing w:before="60" w:after="60" w:line="240" w:lineRule="auto"/>
              <w:rPr>
                <w:sz w:val="18"/>
                <w:szCs w:val="18"/>
              </w:rPr>
            </w:pPr>
            <w:r>
              <w:rPr>
                <w:iCs/>
                <w:sz w:val="18"/>
                <w:szCs w:val="18"/>
              </w:rPr>
              <w:t xml:space="preserve">The PFOS freshwater DGVs dataset will be updated in accordance with the recommendations in </w:t>
            </w:r>
            <w:r w:rsidR="00294081">
              <w:rPr>
                <w:iCs/>
                <w:sz w:val="18"/>
                <w:szCs w:val="18"/>
              </w:rPr>
              <w:t>Dawson et al.</w:t>
            </w:r>
            <w:r>
              <w:rPr>
                <w:iCs/>
                <w:sz w:val="18"/>
                <w:szCs w:val="18"/>
              </w:rPr>
              <w:t xml:space="preserve"> (2024).</w:t>
            </w:r>
          </w:p>
        </w:tc>
      </w:tr>
      <w:tr w:rsidR="00CD2B96" w14:paraId="24693570" w14:textId="77777777" w:rsidTr="00285DF0">
        <w:tc>
          <w:tcPr>
            <w:tcW w:w="4673" w:type="dxa"/>
            <w:tcBorders>
              <w:top w:val="single" w:sz="4" w:space="0" w:color="auto"/>
              <w:left w:val="single" w:sz="4" w:space="0" w:color="auto"/>
              <w:bottom w:val="single" w:sz="4" w:space="0" w:color="auto"/>
              <w:right w:val="single" w:sz="4" w:space="0" w:color="auto"/>
            </w:tcBorders>
          </w:tcPr>
          <w:p w14:paraId="762BC6B3" w14:textId="74CCA80F" w:rsidR="00CD2B96" w:rsidRPr="007B3695" w:rsidRDefault="00CD2B96" w:rsidP="007B3695">
            <w:pPr>
              <w:pStyle w:val="ListParagraph"/>
              <w:numPr>
                <w:ilvl w:val="0"/>
                <w:numId w:val="30"/>
              </w:numPr>
              <w:spacing w:before="60" w:after="60" w:line="240" w:lineRule="auto"/>
              <w:ind w:left="312" w:hanging="284"/>
              <w:rPr>
                <w:bCs/>
                <w:sz w:val="18"/>
                <w:szCs w:val="18"/>
              </w:rPr>
            </w:pPr>
            <w:r w:rsidRPr="007B3695">
              <w:rPr>
                <w:bCs/>
                <w:sz w:val="18"/>
                <w:szCs w:val="18"/>
              </w:rPr>
              <w:t xml:space="preserve">Concerns over the inclusion of the </w:t>
            </w:r>
            <w:r w:rsidRPr="007B3695">
              <w:rPr>
                <w:bCs/>
                <w:i/>
                <w:iCs/>
                <w:sz w:val="18"/>
                <w:szCs w:val="18"/>
              </w:rPr>
              <w:t>Danio rerio</w:t>
            </w:r>
            <w:r w:rsidRPr="007B3695">
              <w:rPr>
                <w:bCs/>
                <w:sz w:val="18"/>
                <w:szCs w:val="18"/>
              </w:rPr>
              <w:t xml:space="preserve"> (zebrafish) multigenerational study by Keiter et al. (2012).</w:t>
            </w:r>
          </w:p>
        </w:tc>
        <w:tc>
          <w:tcPr>
            <w:tcW w:w="5954" w:type="dxa"/>
            <w:tcBorders>
              <w:top w:val="single" w:sz="4" w:space="0" w:color="auto"/>
              <w:left w:val="single" w:sz="4" w:space="0" w:color="auto"/>
              <w:bottom w:val="single" w:sz="4" w:space="0" w:color="auto"/>
              <w:right w:val="single" w:sz="4" w:space="0" w:color="auto"/>
            </w:tcBorders>
          </w:tcPr>
          <w:p w14:paraId="0872B4A5" w14:textId="46610C6D" w:rsidR="00CD2B96" w:rsidRPr="004A7EDD" w:rsidRDefault="00CD2B96" w:rsidP="00CD2B96">
            <w:pPr>
              <w:spacing w:before="60" w:after="60" w:line="240" w:lineRule="auto"/>
              <w:rPr>
                <w:iCs/>
                <w:sz w:val="18"/>
                <w:szCs w:val="18"/>
              </w:rPr>
            </w:pPr>
            <w:r>
              <w:rPr>
                <w:iCs/>
                <w:sz w:val="18"/>
                <w:szCs w:val="18"/>
              </w:rPr>
              <w:t>See response to comment 2 from submission A.</w:t>
            </w:r>
          </w:p>
        </w:tc>
        <w:tc>
          <w:tcPr>
            <w:tcW w:w="3118" w:type="dxa"/>
            <w:tcBorders>
              <w:top w:val="single" w:sz="4" w:space="0" w:color="auto"/>
              <w:left w:val="single" w:sz="4" w:space="0" w:color="auto"/>
              <w:bottom w:val="single" w:sz="4" w:space="0" w:color="auto"/>
              <w:right w:val="single" w:sz="4" w:space="0" w:color="auto"/>
            </w:tcBorders>
          </w:tcPr>
          <w:p w14:paraId="3388DBE8" w14:textId="14267AA8" w:rsidR="00CD2B96" w:rsidRPr="004A7EDD" w:rsidRDefault="00CD2B96" w:rsidP="00CD2B96">
            <w:pPr>
              <w:spacing w:before="60" w:after="60" w:line="240" w:lineRule="auto"/>
              <w:rPr>
                <w:sz w:val="18"/>
                <w:szCs w:val="18"/>
              </w:rPr>
            </w:pPr>
            <w:r>
              <w:rPr>
                <w:sz w:val="18"/>
                <w:szCs w:val="18"/>
              </w:rPr>
              <w:t xml:space="preserve">The Keiter et al. (2012) study will be removed from the final dataset and another value will be selected for the zebrafish from a range of other reliable studies. </w:t>
            </w:r>
          </w:p>
        </w:tc>
      </w:tr>
      <w:tr w:rsidR="00064189" w14:paraId="2676FFF8" w14:textId="77777777" w:rsidTr="00285DF0">
        <w:tc>
          <w:tcPr>
            <w:tcW w:w="4673" w:type="dxa"/>
            <w:tcBorders>
              <w:top w:val="single" w:sz="4" w:space="0" w:color="auto"/>
              <w:left w:val="single" w:sz="4" w:space="0" w:color="auto"/>
              <w:bottom w:val="single" w:sz="4" w:space="0" w:color="auto"/>
              <w:right w:val="single" w:sz="4" w:space="0" w:color="auto"/>
            </w:tcBorders>
          </w:tcPr>
          <w:p w14:paraId="7333E193" w14:textId="3A7302FF" w:rsidR="00064189" w:rsidRPr="007B3695" w:rsidRDefault="00CD2B96" w:rsidP="007B3695">
            <w:pPr>
              <w:pStyle w:val="ListParagraph"/>
              <w:numPr>
                <w:ilvl w:val="0"/>
                <w:numId w:val="30"/>
              </w:numPr>
              <w:spacing w:before="60" w:after="60" w:line="240" w:lineRule="auto"/>
              <w:ind w:left="312" w:hanging="284"/>
              <w:rPr>
                <w:bCs/>
                <w:sz w:val="18"/>
                <w:szCs w:val="18"/>
              </w:rPr>
            </w:pPr>
            <w:r w:rsidRPr="007B3695">
              <w:rPr>
                <w:bCs/>
                <w:sz w:val="18"/>
                <w:szCs w:val="18"/>
              </w:rPr>
              <w:t>The PFOS freshwater dataset is bimodal and, therefore, the DGVs should be derived using the approved approach for bimodal distributions.</w:t>
            </w:r>
          </w:p>
        </w:tc>
        <w:tc>
          <w:tcPr>
            <w:tcW w:w="5954" w:type="dxa"/>
            <w:tcBorders>
              <w:top w:val="single" w:sz="4" w:space="0" w:color="auto"/>
              <w:left w:val="single" w:sz="4" w:space="0" w:color="auto"/>
              <w:bottom w:val="single" w:sz="4" w:space="0" w:color="auto"/>
              <w:right w:val="single" w:sz="4" w:space="0" w:color="auto"/>
            </w:tcBorders>
          </w:tcPr>
          <w:p w14:paraId="1ABFCC02" w14:textId="451D00F2" w:rsidR="00DE57B0" w:rsidRDefault="00CD2B96" w:rsidP="00064189">
            <w:pPr>
              <w:spacing w:before="60" w:after="60" w:line="240" w:lineRule="auto"/>
              <w:rPr>
                <w:iCs/>
                <w:sz w:val="18"/>
                <w:szCs w:val="18"/>
              </w:rPr>
            </w:pPr>
            <w:r>
              <w:rPr>
                <w:iCs/>
                <w:sz w:val="18"/>
                <w:szCs w:val="18"/>
              </w:rPr>
              <w:t xml:space="preserve">The draft technical brief for the PFOS freshwater DGVs provided the details of a comprehensive assessment of the modality of the PFOS freshwater DGVs dataset (Appendix B of the draft technical brief). </w:t>
            </w:r>
            <w:r w:rsidR="00DE57B0">
              <w:rPr>
                <w:iCs/>
                <w:sz w:val="18"/>
                <w:szCs w:val="18"/>
              </w:rPr>
              <w:t>This assessment found that:</w:t>
            </w:r>
          </w:p>
          <w:p w14:paraId="24237CDE" w14:textId="3388497B" w:rsidR="00064189" w:rsidRDefault="00DE57B0" w:rsidP="00DE57B0">
            <w:pPr>
              <w:pStyle w:val="ListParagraph"/>
              <w:numPr>
                <w:ilvl w:val="0"/>
                <w:numId w:val="27"/>
              </w:numPr>
              <w:spacing w:before="60" w:after="60" w:line="240" w:lineRule="auto"/>
              <w:rPr>
                <w:iCs/>
                <w:sz w:val="18"/>
                <w:szCs w:val="18"/>
              </w:rPr>
            </w:pPr>
            <w:r>
              <w:rPr>
                <w:iCs/>
                <w:sz w:val="18"/>
                <w:szCs w:val="18"/>
              </w:rPr>
              <w:t xml:space="preserve">There was an indication of </w:t>
            </w:r>
            <w:r w:rsidRPr="00DE57B0">
              <w:rPr>
                <w:iCs/>
                <w:sz w:val="18"/>
                <w:szCs w:val="18"/>
              </w:rPr>
              <w:t xml:space="preserve">taxa-specific </w:t>
            </w:r>
            <w:r>
              <w:rPr>
                <w:iCs/>
                <w:sz w:val="18"/>
                <w:szCs w:val="18"/>
              </w:rPr>
              <w:t xml:space="preserve">sensitivity, with simple planktonic algae being less sensitive than other taxa groups, but that the samples sizes for these algal groups were too small to enable definitive conclusions on this. </w:t>
            </w:r>
          </w:p>
          <w:p w14:paraId="09D3A420" w14:textId="5C05E0BD" w:rsidR="00DE57B0" w:rsidRDefault="00DE57B0" w:rsidP="00DE57B0">
            <w:pPr>
              <w:pStyle w:val="ListParagraph"/>
              <w:numPr>
                <w:ilvl w:val="0"/>
                <w:numId w:val="27"/>
              </w:numPr>
              <w:spacing w:before="60" w:after="60" w:line="240" w:lineRule="auto"/>
              <w:rPr>
                <w:iCs/>
                <w:sz w:val="18"/>
                <w:szCs w:val="18"/>
              </w:rPr>
            </w:pPr>
            <w:r>
              <w:rPr>
                <w:iCs/>
                <w:sz w:val="18"/>
                <w:szCs w:val="18"/>
              </w:rPr>
              <w:t>Despite the possible taxa-specific sensitivity for algae/plants, this does not result in a bimodal SSD for PFOS</w:t>
            </w:r>
            <w:r w:rsidR="002B1C11">
              <w:rPr>
                <w:iCs/>
                <w:sz w:val="18"/>
                <w:szCs w:val="18"/>
              </w:rPr>
              <w:t xml:space="preserve"> (noting that taxa-specific sensitivity is not unusual and it does not automatically translate to an SSD being bimodal).</w:t>
            </w:r>
          </w:p>
          <w:p w14:paraId="2861C714" w14:textId="3C8ED4A5" w:rsidR="00DE57B0" w:rsidRPr="00DE57B0" w:rsidRDefault="00DE57B0" w:rsidP="00DE57B0">
            <w:pPr>
              <w:spacing w:before="60" w:after="60" w:line="240" w:lineRule="auto"/>
              <w:rPr>
                <w:iCs/>
                <w:sz w:val="18"/>
                <w:szCs w:val="18"/>
              </w:rPr>
            </w:pPr>
            <w:r w:rsidRPr="00DE57B0">
              <w:rPr>
                <w:iCs/>
                <w:sz w:val="18"/>
                <w:szCs w:val="18"/>
              </w:rPr>
              <w:t xml:space="preserve">Therefore, it </w:t>
            </w:r>
            <w:r>
              <w:rPr>
                <w:iCs/>
                <w:sz w:val="18"/>
                <w:szCs w:val="18"/>
              </w:rPr>
              <w:t>was, and is still, considered to be</w:t>
            </w:r>
            <w:r w:rsidRPr="00DE57B0">
              <w:rPr>
                <w:iCs/>
                <w:sz w:val="18"/>
                <w:szCs w:val="18"/>
              </w:rPr>
              <w:t xml:space="preserve"> appropriate to </w:t>
            </w:r>
            <w:r>
              <w:rPr>
                <w:iCs/>
                <w:sz w:val="18"/>
                <w:szCs w:val="18"/>
              </w:rPr>
              <w:t>model the dataset using a unimodal distribution</w:t>
            </w:r>
            <w:r w:rsidR="002B1C11">
              <w:rPr>
                <w:iCs/>
                <w:sz w:val="18"/>
                <w:szCs w:val="18"/>
              </w:rPr>
              <w:t xml:space="preserve">. Nevertheless, once the dataset is revised to address the responses to public comments, a new full modality assessment will be performed. </w:t>
            </w:r>
          </w:p>
        </w:tc>
        <w:tc>
          <w:tcPr>
            <w:tcW w:w="3118" w:type="dxa"/>
            <w:tcBorders>
              <w:top w:val="single" w:sz="4" w:space="0" w:color="auto"/>
              <w:left w:val="single" w:sz="4" w:space="0" w:color="auto"/>
              <w:bottom w:val="single" w:sz="4" w:space="0" w:color="auto"/>
              <w:right w:val="single" w:sz="4" w:space="0" w:color="auto"/>
            </w:tcBorders>
          </w:tcPr>
          <w:p w14:paraId="4A1F1BB6" w14:textId="01F355C0" w:rsidR="00064189" w:rsidRPr="004A7EDD" w:rsidRDefault="002B1C11" w:rsidP="00064189">
            <w:pPr>
              <w:spacing w:before="60" w:after="60" w:line="240" w:lineRule="auto"/>
              <w:rPr>
                <w:sz w:val="18"/>
                <w:szCs w:val="18"/>
              </w:rPr>
            </w:pPr>
            <w:r>
              <w:rPr>
                <w:sz w:val="18"/>
                <w:szCs w:val="18"/>
              </w:rPr>
              <w:t xml:space="preserve">No action proposed, although the updated dataset (once public submissions are addressed) will be subjected to a new modality assessment, as per standard procedure for the DGV derivation method. </w:t>
            </w:r>
          </w:p>
        </w:tc>
      </w:tr>
      <w:tr w:rsidR="00064189" w14:paraId="1446D13C" w14:textId="77777777" w:rsidTr="00285DF0">
        <w:tc>
          <w:tcPr>
            <w:tcW w:w="13745" w:type="dxa"/>
            <w:gridSpan w:val="3"/>
            <w:tcBorders>
              <w:top w:val="single" w:sz="4" w:space="0" w:color="auto"/>
              <w:left w:val="single" w:sz="4" w:space="0" w:color="auto"/>
              <w:bottom w:val="single" w:sz="4" w:space="0" w:color="auto"/>
              <w:right w:val="single" w:sz="4" w:space="0" w:color="auto"/>
            </w:tcBorders>
          </w:tcPr>
          <w:p w14:paraId="23266D96" w14:textId="77777777" w:rsidR="00064189" w:rsidRPr="004A7EDD" w:rsidRDefault="00064189" w:rsidP="00064189">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D</w:t>
            </w:r>
          </w:p>
        </w:tc>
      </w:tr>
      <w:tr w:rsidR="00064189" w14:paraId="4F3DC8B8" w14:textId="77777777" w:rsidTr="00285DF0">
        <w:tc>
          <w:tcPr>
            <w:tcW w:w="4673" w:type="dxa"/>
            <w:tcBorders>
              <w:top w:val="single" w:sz="4" w:space="0" w:color="auto"/>
              <w:left w:val="single" w:sz="4" w:space="0" w:color="auto"/>
              <w:bottom w:val="single" w:sz="4" w:space="0" w:color="auto"/>
              <w:right w:val="single" w:sz="4" w:space="0" w:color="auto"/>
            </w:tcBorders>
          </w:tcPr>
          <w:p w14:paraId="7BD5B80B" w14:textId="41EE8598" w:rsidR="00064189" w:rsidRPr="007B3695" w:rsidRDefault="001152B1" w:rsidP="007B3695">
            <w:pPr>
              <w:pStyle w:val="ListParagraph"/>
              <w:numPr>
                <w:ilvl w:val="0"/>
                <w:numId w:val="31"/>
              </w:numPr>
              <w:spacing w:before="60" w:after="60" w:line="240" w:lineRule="auto"/>
              <w:ind w:left="312" w:hanging="284"/>
              <w:rPr>
                <w:bCs/>
                <w:sz w:val="18"/>
                <w:szCs w:val="18"/>
                <w:lang w:val="en-GB"/>
              </w:rPr>
            </w:pPr>
            <w:r w:rsidRPr="007B3695">
              <w:rPr>
                <w:bCs/>
                <w:sz w:val="18"/>
                <w:szCs w:val="18"/>
                <w:lang w:val="en-GB"/>
              </w:rPr>
              <w:lastRenderedPageBreak/>
              <w:t xml:space="preserve">Minor discrepancy in 99% species protection DGV reported in the draft technical brief (0.0091 </w:t>
            </w:r>
            <w:r w:rsidRPr="007B3695">
              <w:rPr>
                <w:rFonts w:cs="Calibri"/>
                <w:bCs/>
                <w:sz w:val="18"/>
                <w:szCs w:val="18"/>
                <w:lang w:val="en-GB"/>
              </w:rPr>
              <w:t>µ</w:t>
            </w:r>
            <w:r w:rsidRPr="007B3695">
              <w:rPr>
                <w:bCs/>
                <w:sz w:val="18"/>
                <w:szCs w:val="18"/>
                <w:lang w:val="en-GB"/>
              </w:rPr>
              <w:t xml:space="preserve">g/L) compared with submitter-derived value using the same dataset and software (0.0093 </w:t>
            </w:r>
            <w:r w:rsidRPr="007B3695">
              <w:rPr>
                <w:rFonts w:cs="Calibri"/>
                <w:bCs/>
                <w:sz w:val="18"/>
                <w:szCs w:val="18"/>
                <w:lang w:val="en-GB"/>
              </w:rPr>
              <w:t>µ</w:t>
            </w:r>
            <w:r w:rsidRPr="007B3695">
              <w:rPr>
                <w:bCs/>
                <w:sz w:val="18"/>
                <w:szCs w:val="18"/>
                <w:lang w:val="en-GB"/>
              </w:rPr>
              <w:t>g/L).</w:t>
            </w:r>
          </w:p>
        </w:tc>
        <w:tc>
          <w:tcPr>
            <w:tcW w:w="5954" w:type="dxa"/>
            <w:tcBorders>
              <w:top w:val="single" w:sz="4" w:space="0" w:color="auto"/>
              <w:left w:val="single" w:sz="4" w:space="0" w:color="auto"/>
              <w:bottom w:val="single" w:sz="4" w:space="0" w:color="auto"/>
              <w:right w:val="single" w:sz="4" w:space="0" w:color="auto"/>
            </w:tcBorders>
          </w:tcPr>
          <w:p w14:paraId="5102889D" w14:textId="658BAF20" w:rsidR="00064189" w:rsidRPr="004A7EDD" w:rsidRDefault="001152B1" w:rsidP="00064189">
            <w:pPr>
              <w:spacing w:before="60" w:after="60" w:line="240" w:lineRule="auto"/>
              <w:rPr>
                <w:iCs/>
                <w:sz w:val="18"/>
                <w:szCs w:val="18"/>
              </w:rPr>
            </w:pPr>
            <w:r>
              <w:rPr>
                <w:iCs/>
                <w:sz w:val="18"/>
                <w:szCs w:val="18"/>
              </w:rPr>
              <w:t xml:space="preserve">Noted. However, this issue is redundant given that the dataset and DGVs will be revised to address public comments. </w:t>
            </w:r>
          </w:p>
        </w:tc>
        <w:tc>
          <w:tcPr>
            <w:tcW w:w="3118" w:type="dxa"/>
            <w:tcBorders>
              <w:top w:val="single" w:sz="4" w:space="0" w:color="auto"/>
              <w:left w:val="single" w:sz="4" w:space="0" w:color="auto"/>
              <w:bottom w:val="single" w:sz="4" w:space="0" w:color="auto"/>
              <w:right w:val="single" w:sz="4" w:space="0" w:color="auto"/>
            </w:tcBorders>
          </w:tcPr>
          <w:p w14:paraId="693FCA38" w14:textId="00420E91" w:rsidR="00064189" w:rsidRPr="004A7EDD" w:rsidRDefault="001152B1" w:rsidP="00064189">
            <w:pPr>
              <w:spacing w:before="60" w:after="60" w:line="240" w:lineRule="auto"/>
              <w:rPr>
                <w:sz w:val="18"/>
                <w:szCs w:val="18"/>
              </w:rPr>
            </w:pPr>
            <w:r>
              <w:rPr>
                <w:sz w:val="18"/>
                <w:szCs w:val="18"/>
              </w:rPr>
              <w:t>No action required.</w:t>
            </w:r>
          </w:p>
        </w:tc>
      </w:tr>
      <w:tr w:rsidR="00063F93" w14:paraId="6FDB8DFF" w14:textId="77777777" w:rsidTr="00285DF0">
        <w:tc>
          <w:tcPr>
            <w:tcW w:w="4673" w:type="dxa"/>
            <w:tcBorders>
              <w:top w:val="single" w:sz="4" w:space="0" w:color="auto"/>
              <w:left w:val="single" w:sz="4" w:space="0" w:color="auto"/>
              <w:bottom w:val="single" w:sz="4" w:space="0" w:color="auto"/>
              <w:right w:val="single" w:sz="4" w:space="0" w:color="auto"/>
            </w:tcBorders>
          </w:tcPr>
          <w:p w14:paraId="061FA216" w14:textId="77777777" w:rsidR="00063F93" w:rsidRPr="007B3695" w:rsidRDefault="00063F93" w:rsidP="00063F93">
            <w:pPr>
              <w:pStyle w:val="ListParagraph"/>
              <w:numPr>
                <w:ilvl w:val="0"/>
                <w:numId w:val="34"/>
              </w:numPr>
              <w:spacing w:before="60" w:after="60" w:line="240" w:lineRule="auto"/>
              <w:ind w:left="312" w:hanging="284"/>
              <w:rPr>
                <w:bCs/>
                <w:sz w:val="18"/>
                <w:szCs w:val="18"/>
              </w:rPr>
            </w:pPr>
            <w:r w:rsidRPr="007B3695">
              <w:rPr>
                <w:bCs/>
                <w:sz w:val="18"/>
                <w:szCs w:val="18"/>
              </w:rPr>
              <w:t>Concerns over use of the Burr Type III model for the species sensitivity distribution (SSD).</w:t>
            </w:r>
          </w:p>
        </w:tc>
        <w:tc>
          <w:tcPr>
            <w:tcW w:w="5954" w:type="dxa"/>
            <w:tcBorders>
              <w:top w:val="single" w:sz="4" w:space="0" w:color="auto"/>
              <w:left w:val="single" w:sz="4" w:space="0" w:color="auto"/>
              <w:bottom w:val="single" w:sz="4" w:space="0" w:color="auto"/>
              <w:right w:val="single" w:sz="4" w:space="0" w:color="auto"/>
            </w:tcBorders>
          </w:tcPr>
          <w:p w14:paraId="0699D56D" w14:textId="77777777" w:rsidR="00063F93" w:rsidRPr="004A7EDD" w:rsidRDefault="00063F93" w:rsidP="00285DF0">
            <w:pPr>
              <w:spacing w:before="60" w:after="60" w:line="240" w:lineRule="auto"/>
              <w:rPr>
                <w:iCs/>
                <w:sz w:val="18"/>
                <w:szCs w:val="18"/>
              </w:rPr>
            </w:pPr>
            <w:r>
              <w:rPr>
                <w:iCs/>
                <w:sz w:val="18"/>
                <w:szCs w:val="18"/>
              </w:rPr>
              <w:t>See response to comment 1 from submission A.</w:t>
            </w:r>
          </w:p>
        </w:tc>
        <w:tc>
          <w:tcPr>
            <w:tcW w:w="3118" w:type="dxa"/>
            <w:tcBorders>
              <w:top w:val="single" w:sz="4" w:space="0" w:color="auto"/>
              <w:left w:val="single" w:sz="4" w:space="0" w:color="auto"/>
              <w:bottom w:val="single" w:sz="4" w:space="0" w:color="auto"/>
              <w:right w:val="single" w:sz="4" w:space="0" w:color="auto"/>
            </w:tcBorders>
          </w:tcPr>
          <w:p w14:paraId="569D6940" w14:textId="77777777" w:rsidR="00063F93" w:rsidRPr="004A7EDD" w:rsidRDefault="00063F93" w:rsidP="00285DF0">
            <w:pPr>
              <w:spacing w:before="60" w:after="60" w:line="240" w:lineRule="auto"/>
              <w:rPr>
                <w:sz w:val="18"/>
                <w:szCs w:val="18"/>
              </w:rPr>
            </w:pPr>
            <w:r>
              <w:rPr>
                <w:sz w:val="18"/>
                <w:szCs w:val="18"/>
              </w:rPr>
              <w:t>The DGVs will be revised using the shinyssdtools software and its associated model averaging approach.</w:t>
            </w:r>
          </w:p>
        </w:tc>
      </w:tr>
      <w:tr w:rsidR="001152B1" w14:paraId="245E20B3" w14:textId="77777777" w:rsidTr="00285DF0">
        <w:tc>
          <w:tcPr>
            <w:tcW w:w="4673" w:type="dxa"/>
            <w:tcBorders>
              <w:top w:val="single" w:sz="4" w:space="0" w:color="auto"/>
              <w:left w:val="single" w:sz="4" w:space="0" w:color="auto"/>
              <w:bottom w:val="single" w:sz="4" w:space="0" w:color="auto"/>
              <w:right w:val="single" w:sz="4" w:space="0" w:color="auto"/>
            </w:tcBorders>
          </w:tcPr>
          <w:p w14:paraId="104A16C9" w14:textId="26CF03CE" w:rsidR="001152B1" w:rsidRPr="007B3695" w:rsidRDefault="00CD2B96" w:rsidP="00063F93">
            <w:pPr>
              <w:pStyle w:val="ListParagraph"/>
              <w:numPr>
                <w:ilvl w:val="0"/>
                <w:numId w:val="34"/>
              </w:numPr>
              <w:spacing w:before="60" w:after="60" w:line="240" w:lineRule="auto"/>
              <w:ind w:left="312" w:hanging="284"/>
              <w:rPr>
                <w:bCs/>
                <w:sz w:val="18"/>
                <w:szCs w:val="18"/>
                <w:lang w:val="en-GB"/>
              </w:rPr>
            </w:pPr>
            <w:r w:rsidRPr="007B3695">
              <w:rPr>
                <w:bCs/>
                <w:sz w:val="18"/>
                <w:szCs w:val="18"/>
              </w:rPr>
              <w:t xml:space="preserve">Concerns over the inclusion of the </w:t>
            </w:r>
            <w:r w:rsidRPr="007B3695">
              <w:rPr>
                <w:bCs/>
                <w:i/>
                <w:iCs/>
                <w:sz w:val="18"/>
                <w:szCs w:val="18"/>
              </w:rPr>
              <w:t>Danio rerio</w:t>
            </w:r>
            <w:r w:rsidRPr="007B3695">
              <w:rPr>
                <w:bCs/>
                <w:sz w:val="18"/>
                <w:szCs w:val="18"/>
              </w:rPr>
              <w:t xml:space="preserve"> (zebrafish) multigenerational study by Keiter et al. (2012).</w:t>
            </w:r>
          </w:p>
        </w:tc>
        <w:tc>
          <w:tcPr>
            <w:tcW w:w="5954" w:type="dxa"/>
            <w:tcBorders>
              <w:top w:val="single" w:sz="4" w:space="0" w:color="auto"/>
              <w:left w:val="single" w:sz="4" w:space="0" w:color="auto"/>
              <w:bottom w:val="single" w:sz="4" w:space="0" w:color="auto"/>
              <w:right w:val="single" w:sz="4" w:space="0" w:color="auto"/>
            </w:tcBorders>
          </w:tcPr>
          <w:p w14:paraId="0558CBA1" w14:textId="6817CE9B" w:rsidR="001152B1" w:rsidRPr="004A7EDD" w:rsidRDefault="001152B1" w:rsidP="001152B1">
            <w:pPr>
              <w:spacing w:before="60" w:after="60" w:line="240" w:lineRule="auto"/>
              <w:rPr>
                <w:iCs/>
                <w:sz w:val="18"/>
                <w:szCs w:val="18"/>
              </w:rPr>
            </w:pPr>
            <w:r>
              <w:rPr>
                <w:iCs/>
                <w:sz w:val="18"/>
                <w:szCs w:val="18"/>
              </w:rPr>
              <w:t>See response to comment 2 from submission A.</w:t>
            </w:r>
          </w:p>
        </w:tc>
        <w:tc>
          <w:tcPr>
            <w:tcW w:w="3118" w:type="dxa"/>
            <w:tcBorders>
              <w:top w:val="single" w:sz="4" w:space="0" w:color="auto"/>
              <w:left w:val="single" w:sz="4" w:space="0" w:color="auto"/>
              <w:bottom w:val="single" w:sz="4" w:space="0" w:color="auto"/>
              <w:right w:val="single" w:sz="4" w:space="0" w:color="auto"/>
            </w:tcBorders>
          </w:tcPr>
          <w:p w14:paraId="3A889237" w14:textId="745E118F" w:rsidR="001152B1" w:rsidRPr="004A7EDD" w:rsidRDefault="001152B1" w:rsidP="001152B1">
            <w:pPr>
              <w:spacing w:before="60" w:after="60" w:line="240" w:lineRule="auto"/>
              <w:rPr>
                <w:sz w:val="18"/>
                <w:szCs w:val="18"/>
              </w:rPr>
            </w:pPr>
            <w:r>
              <w:rPr>
                <w:sz w:val="18"/>
                <w:szCs w:val="18"/>
              </w:rPr>
              <w:t xml:space="preserve">The Keiter et al. (2012) study will be removed from the final dataset and another value will be selected for the zebrafish from a range of other reliable studies. </w:t>
            </w:r>
          </w:p>
        </w:tc>
      </w:tr>
      <w:tr w:rsidR="00744C59" w14:paraId="2BC8036B" w14:textId="77777777" w:rsidTr="00285DF0">
        <w:tc>
          <w:tcPr>
            <w:tcW w:w="13745" w:type="dxa"/>
            <w:gridSpan w:val="3"/>
            <w:tcBorders>
              <w:top w:val="single" w:sz="4" w:space="0" w:color="auto"/>
              <w:left w:val="single" w:sz="4" w:space="0" w:color="auto"/>
              <w:bottom w:val="single" w:sz="4" w:space="0" w:color="auto"/>
              <w:right w:val="single" w:sz="4" w:space="0" w:color="auto"/>
            </w:tcBorders>
          </w:tcPr>
          <w:p w14:paraId="326D7255" w14:textId="77777777" w:rsidR="00744C59" w:rsidRPr="004A7EDD" w:rsidRDefault="00744C59" w:rsidP="00744C59">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E</w:t>
            </w:r>
          </w:p>
        </w:tc>
      </w:tr>
      <w:tr w:rsidR="003510D2" w14:paraId="10B66A0F" w14:textId="77777777" w:rsidTr="00285DF0">
        <w:tc>
          <w:tcPr>
            <w:tcW w:w="4673" w:type="dxa"/>
            <w:tcBorders>
              <w:top w:val="single" w:sz="4" w:space="0" w:color="auto"/>
              <w:left w:val="single" w:sz="4" w:space="0" w:color="auto"/>
              <w:bottom w:val="single" w:sz="4" w:space="0" w:color="auto"/>
              <w:right w:val="single" w:sz="4" w:space="0" w:color="auto"/>
            </w:tcBorders>
          </w:tcPr>
          <w:p w14:paraId="098A7FC1" w14:textId="77777777" w:rsidR="003510D2" w:rsidRPr="007B3695" w:rsidRDefault="00CD2B96" w:rsidP="007B3695">
            <w:pPr>
              <w:pStyle w:val="ListParagraph"/>
              <w:numPr>
                <w:ilvl w:val="0"/>
                <w:numId w:val="32"/>
              </w:numPr>
              <w:spacing w:before="60" w:after="60" w:line="240" w:lineRule="auto"/>
              <w:ind w:left="312" w:hanging="284"/>
              <w:rPr>
                <w:bCs/>
                <w:sz w:val="18"/>
                <w:szCs w:val="18"/>
                <w:lang w:val="en-GB"/>
              </w:rPr>
            </w:pPr>
            <w:r w:rsidRPr="007B3695">
              <w:rPr>
                <w:bCs/>
                <w:sz w:val="18"/>
                <w:szCs w:val="18"/>
              </w:rPr>
              <w:t xml:space="preserve">Concerns over the inclusion of the </w:t>
            </w:r>
            <w:r w:rsidRPr="007B3695">
              <w:rPr>
                <w:bCs/>
                <w:i/>
                <w:iCs/>
                <w:sz w:val="18"/>
                <w:szCs w:val="18"/>
              </w:rPr>
              <w:t>Danio rerio</w:t>
            </w:r>
            <w:r w:rsidRPr="007B3695">
              <w:rPr>
                <w:bCs/>
                <w:sz w:val="18"/>
                <w:szCs w:val="18"/>
              </w:rPr>
              <w:t xml:space="preserve"> (zebrafish) multigenerational study by Keiter et al. (2012).</w:t>
            </w:r>
          </w:p>
        </w:tc>
        <w:tc>
          <w:tcPr>
            <w:tcW w:w="5954" w:type="dxa"/>
            <w:tcBorders>
              <w:top w:val="single" w:sz="4" w:space="0" w:color="auto"/>
              <w:left w:val="single" w:sz="4" w:space="0" w:color="auto"/>
              <w:bottom w:val="single" w:sz="4" w:space="0" w:color="auto"/>
              <w:right w:val="single" w:sz="4" w:space="0" w:color="auto"/>
            </w:tcBorders>
          </w:tcPr>
          <w:p w14:paraId="2153BBFF" w14:textId="77777777" w:rsidR="003510D2" w:rsidRPr="004A7EDD" w:rsidRDefault="003510D2" w:rsidP="00285DF0">
            <w:pPr>
              <w:spacing w:before="60" w:after="60" w:line="240" w:lineRule="auto"/>
              <w:rPr>
                <w:iCs/>
                <w:sz w:val="18"/>
                <w:szCs w:val="18"/>
              </w:rPr>
            </w:pPr>
            <w:r>
              <w:rPr>
                <w:iCs/>
                <w:sz w:val="18"/>
                <w:szCs w:val="18"/>
              </w:rPr>
              <w:t>See response to comment 2 from submission A.</w:t>
            </w:r>
          </w:p>
        </w:tc>
        <w:tc>
          <w:tcPr>
            <w:tcW w:w="3118" w:type="dxa"/>
            <w:tcBorders>
              <w:top w:val="single" w:sz="4" w:space="0" w:color="auto"/>
              <w:left w:val="single" w:sz="4" w:space="0" w:color="auto"/>
              <w:bottom w:val="single" w:sz="4" w:space="0" w:color="auto"/>
              <w:right w:val="single" w:sz="4" w:space="0" w:color="auto"/>
            </w:tcBorders>
          </w:tcPr>
          <w:p w14:paraId="245FF7E9" w14:textId="77777777" w:rsidR="003510D2" w:rsidRPr="004A7EDD" w:rsidRDefault="003510D2" w:rsidP="00285DF0">
            <w:pPr>
              <w:spacing w:before="60" w:after="60" w:line="240" w:lineRule="auto"/>
              <w:rPr>
                <w:sz w:val="18"/>
                <w:szCs w:val="18"/>
              </w:rPr>
            </w:pPr>
            <w:r>
              <w:rPr>
                <w:sz w:val="18"/>
                <w:szCs w:val="18"/>
              </w:rPr>
              <w:t xml:space="preserve">The Keiter et al. (2012) study will be removed from the final dataset and another value will be selected for the zebrafish from a range of other reliable studies. </w:t>
            </w:r>
          </w:p>
        </w:tc>
      </w:tr>
      <w:tr w:rsidR="003510D2" w14:paraId="78853633" w14:textId="77777777" w:rsidTr="00285DF0">
        <w:tc>
          <w:tcPr>
            <w:tcW w:w="4673" w:type="dxa"/>
            <w:tcBorders>
              <w:top w:val="single" w:sz="4" w:space="0" w:color="auto"/>
              <w:left w:val="single" w:sz="4" w:space="0" w:color="auto"/>
              <w:bottom w:val="single" w:sz="4" w:space="0" w:color="auto"/>
              <w:right w:val="single" w:sz="4" w:space="0" w:color="auto"/>
            </w:tcBorders>
          </w:tcPr>
          <w:p w14:paraId="7407F347" w14:textId="77777777" w:rsidR="00EF40A1" w:rsidRPr="007B3695" w:rsidRDefault="003510D2" w:rsidP="007B3695">
            <w:pPr>
              <w:pStyle w:val="ListParagraph"/>
              <w:numPr>
                <w:ilvl w:val="0"/>
                <w:numId w:val="32"/>
              </w:numPr>
              <w:spacing w:before="60" w:after="60" w:line="240" w:lineRule="auto"/>
              <w:ind w:left="312" w:hanging="284"/>
              <w:rPr>
                <w:bCs/>
                <w:sz w:val="18"/>
                <w:szCs w:val="18"/>
              </w:rPr>
            </w:pPr>
            <w:r w:rsidRPr="007B3695">
              <w:rPr>
                <w:bCs/>
                <w:sz w:val="18"/>
                <w:szCs w:val="18"/>
              </w:rPr>
              <w:t xml:space="preserve">Concerns about the guidance in the technical brief on how to account for bioaccumulation of PFOS. Key points raised </w:t>
            </w:r>
            <w:r w:rsidR="00EF40A1" w:rsidRPr="007B3695">
              <w:rPr>
                <w:bCs/>
                <w:sz w:val="18"/>
                <w:szCs w:val="18"/>
              </w:rPr>
              <w:t>included:</w:t>
            </w:r>
          </w:p>
          <w:p w14:paraId="7FB4ECFF" w14:textId="77777777" w:rsidR="00EF40A1" w:rsidRDefault="003510D2" w:rsidP="00EF40A1">
            <w:pPr>
              <w:pStyle w:val="ListParagraph"/>
              <w:numPr>
                <w:ilvl w:val="0"/>
                <w:numId w:val="28"/>
              </w:numPr>
              <w:spacing w:before="60" w:after="60" w:line="240" w:lineRule="auto"/>
              <w:rPr>
                <w:bCs/>
                <w:sz w:val="18"/>
                <w:szCs w:val="18"/>
              </w:rPr>
            </w:pPr>
            <w:r w:rsidRPr="00EF40A1">
              <w:rPr>
                <w:bCs/>
                <w:sz w:val="18"/>
                <w:szCs w:val="18"/>
              </w:rPr>
              <w:t>consistency in guidance</w:t>
            </w:r>
          </w:p>
          <w:p w14:paraId="1A29E07F" w14:textId="77777777" w:rsidR="003510D2" w:rsidRDefault="003510D2" w:rsidP="00EF40A1">
            <w:pPr>
              <w:pStyle w:val="ListParagraph"/>
              <w:numPr>
                <w:ilvl w:val="0"/>
                <w:numId w:val="28"/>
              </w:numPr>
              <w:spacing w:before="60" w:after="60" w:line="240" w:lineRule="auto"/>
              <w:rPr>
                <w:bCs/>
                <w:sz w:val="18"/>
                <w:szCs w:val="18"/>
              </w:rPr>
            </w:pPr>
            <w:r w:rsidRPr="00EF40A1">
              <w:rPr>
                <w:bCs/>
                <w:sz w:val="18"/>
                <w:szCs w:val="18"/>
              </w:rPr>
              <w:t>need for clarity on biota sampling requirements (for assessing bioaccumulation)</w:t>
            </w:r>
          </w:p>
          <w:p w14:paraId="3337DFDC" w14:textId="59B965D1" w:rsidR="00EF40A1" w:rsidRPr="00EF40A1" w:rsidRDefault="007B3695" w:rsidP="00EF40A1">
            <w:pPr>
              <w:pStyle w:val="ListParagraph"/>
              <w:numPr>
                <w:ilvl w:val="0"/>
                <w:numId w:val="28"/>
              </w:numPr>
              <w:spacing w:before="60" w:after="60" w:line="240" w:lineRule="auto"/>
              <w:rPr>
                <w:bCs/>
                <w:sz w:val="18"/>
                <w:szCs w:val="18"/>
              </w:rPr>
            </w:pPr>
            <w:r>
              <w:rPr>
                <w:bCs/>
                <w:sz w:val="18"/>
                <w:szCs w:val="18"/>
              </w:rPr>
              <w:t>dealing with other catchment sources of PFOS.</w:t>
            </w:r>
          </w:p>
        </w:tc>
        <w:tc>
          <w:tcPr>
            <w:tcW w:w="5954" w:type="dxa"/>
            <w:tcBorders>
              <w:top w:val="single" w:sz="4" w:space="0" w:color="auto"/>
              <w:left w:val="single" w:sz="4" w:space="0" w:color="auto"/>
              <w:bottom w:val="single" w:sz="4" w:space="0" w:color="auto"/>
              <w:right w:val="single" w:sz="4" w:space="0" w:color="auto"/>
            </w:tcBorders>
          </w:tcPr>
          <w:p w14:paraId="0193D969" w14:textId="5CD2AFF4" w:rsidR="003510D2" w:rsidRPr="004A7EDD" w:rsidRDefault="007B3695" w:rsidP="003510D2">
            <w:pPr>
              <w:spacing w:before="60" w:after="60" w:line="240" w:lineRule="auto"/>
              <w:rPr>
                <w:iCs/>
                <w:sz w:val="18"/>
                <w:szCs w:val="18"/>
              </w:rPr>
            </w:pPr>
            <w:r>
              <w:rPr>
                <w:iCs/>
                <w:sz w:val="18"/>
                <w:szCs w:val="18"/>
              </w:rPr>
              <w:t>See response to comment 2 from submission B.</w:t>
            </w:r>
          </w:p>
        </w:tc>
        <w:tc>
          <w:tcPr>
            <w:tcW w:w="3118" w:type="dxa"/>
            <w:tcBorders>
              <w:top w:val="single" w:sz="4" w:space="0" w:color="auto"/>
              <w:left w:val="single" w:sz="4" w:space="0" w:color="auto"/>
              <w:bottom w:val="single" w:sz="4" w:space="0" w:color="auto"/>
              <w:right w:val="single" w:sz="4" w:space="0" w:color="auto"/>
            </w:tcBorders>
          </w:tcPr>
          <w:p w14:paraId="2008467F" w14:textId="32A6A2F9" w:rsidR="003510D2" w:rsidRPr="004A7EDD" w:rsidRDefault="00BE1577" w:rsidP="003510D2">
            <w:pPr>
              <w:spacing w:before="60" w:after="60" w:line="240" w:lineRule="auto"/>
              <w:rPr>
                <w:sz w:val="18"/>
                <w:szCs w:val="18"/>
              </w:rPr>
            </w:pPr>
            <w:r>
              <w:rPr>
                <w:sz w:val="18"/>
                <w:szCs w:val="18"/>
              </w:rPr>
              <w:t>No action required.</w:t>
            </w:r>
          </w:p>
        </w:tc>
      </w:tr>
      <w:tr w:rsidR="003510D2" w14:paraId="2C9E4215" w14:textId="77777777" w:rsidTr="00285DF0">
        <w:tc>
          <w:tcPr>
            <w:tcW w:w="13745" w:type="dxa"/>
            <w:gridSpan w:val="3"/>
            <w:tcBorders>
              <w:top w:val="single" w:sz="4" w:space="0" w:color="auto"/>
              <w:left w:val="single" w:sz="4" w:space="0" w:color="auto"/>
              <w:bottom w:val="single" w:sz="4" w:space="0" w:color="auto"/>
              <w:right w:val="single" w:sz="4" w:space="0" w:color="auto"/>
            </w:tcBorders>
          </w:tcPr>
          <w:p w14:paraId="28DC75C1" w14:textId="5FC3D0F5" w:rsidR="003510D2" w:rsidRPr="004A7EDD" w:rsidRDefault="003510D2" w:rsidP="003510D2">
            <w:pPr>
              <w:spacing w:before="60" w:after="60" w:line="280" w:lineRule="atLeast"/>
              <w:rPr>
                <w:sz w:val="18"/>
                <w:szCs w:val="18"/>
              </w:rPr>
            </w:pPr>
            <w:r>
              <w:rPr>
                <w:b/>
                <w:sz w:val="18"/>
                <w:szCs w:val="18"/>
              </w:rPr>
              <w:t>Submission</w:t>
            </w:r>
            <w:r w:rsidRPr="006B7B8A">
              <w:rPr>
                <w:b/>
                <w:sz w:val="18"/>
                <w:szCs w:val="18"/>
              </w:rPr>
              <w:t xml:space="preserve"> </w:t>
            </w:r>
            <w:r w:rsidR="007B3695">
              <w:rPr>
                <w:b/>
                <w:sz w:val="18"/>
                <w:szCs w:val="18"/>
              </w:rPr>
              <w:t>F</w:t>
            </w:r>
          </w:p>
        </w:tc>
      </w:tr>
      <w:tr w:rsidR="003510D2" w14:paraId="45C1B8FE" w14:textId="77777777" w:rsidTr="00285DF0">
        <w:tc>
          <w:tcPr>
            <w:tcW w:w="4673" w:type="dxa"/>
            <w:tcBorders>
              <w:top w:val="single" w:sz="4" w:space="0" w:color="auto"/>
              <w:left w:val="single" w:sz="4" w:space="0" w:color="auto"/>
              <w:bottom w:val="single" w:sz="4" w:space="0" w:color="auto"/>
              <w:right w:val="single" w:sz="4" w:space="0" w:color="auto"/>
            </w:tcBorders>
          </w:tcPr>
          <w:p w14:paraId="4E59F8B8" w14:textId="4F851812" w:rsidR="003510D2" w:rsidRPr="007B3695" w:rsidRDefault="007B3695" w:rsidP="007B3695">
            <w:pPr>
              <w:pStyle w:val="ListParagraph"/>
              <w:numPr>
                <w:ilvl w:val="0"/>
                <w:numId w:val="33"/>
              </w:numPr>
              <w:spacing w:before="60" w:after="60" w:line="240" w:lineRule="auto"/>
              <w:ind w:left="312" w:hanging="284"/>
              <w:rPr>
                <w:bCs/>
                <w:sz w:val="18"/>
                <w:szCs w:val="18"/>
              </w:rPr>
            </w:pPr>
            <w:r w:rsidRPr="007B3695">
              <w:rPr>
                <w:bCs/>
                <w:sz w:val="18"/>
                <w:szCs w:val="18"/>
              </w:rPr>
              <w:t xml:space="preserve">Supported the comments from submission </w:t>
            </w:r>
            <w:r>
              <w:rPr>
                <w:bCs/>
                <w:sz w:val="18"/>
                <w:szCs w:val="18"/>
              </w:rPr>
              <w:t>C</w:t>
            </w:r>
          </w:p>
        </w:tc>
        <w:tc>
          <w:tcPr>
            <w:tcW w:w="5954" w:type="dxa"/>
            <w:tcBorders>
              <w:top w:val="single" w:sz="4" w:space="0" w:color="auto"/>
              <w:left w:val="single" w:sz="4" w:space="0" w:color="auto"/>
              <w:bottom w:val="single" w:sz="4" w:space="0" w:color="auto"/>
              <w:right w:val="single" w:sz="4" w:space="0" w:color="auto"/>
            </w:tcBorders>
          </w:tcPr>
          <w:p w14:paraId="6CA7838E" w14:textId="45509F68" w:rsidR="003510D2" w:rsidRPr="004A7EDD" w:rsidRDefault="007B3695" w:rsidP="003510D2">
            <w:pPr>
              <w:spacing w:before="60" w:after="60" w:line="240" w:lineRule="auto"/>
              <w:rPr>
                <w:iCs/>
                <w:sz w:val="18"/>
                <w:szCs w:val="18"/>
              </w:rPr>
            </w:pPr>
            <w:r>
              <w:rPr>
                <w:iCs/>
                <w:sz w:val="18"/>
                <w:szCs w:val="18"/>
              </w:rPr>
              <w:t>See responses to comments 1 – 3 from submission C.</w:t>
            </w:r>
          </w:p>
        </w:tc>
        <w:tc>
          <w:tcPr>
            <w:tcW w:w="3118" w:type="dxa"/>
            <w:tcBorders>
              <w:top w:val="single" w:sz="4" w:space="0" w:color="auto"/>
              <w:left w:val="single" w:sz="4" w:space="0" w:color="auto"/>
              <w:bottom w:val="single" w:sz="4" w:space="0" w:color="auto"/>
              <w:right w:val="single" w:sz="4" w:space="0" w:color="auto"/>
            </w:tcBorders>
          </w:tcPr>
          <w:p w14:paraId="716EE12F" w14:textId="0242FF79" w:rsidR="003510D2" w:rsidRPr="004A7EDD" w:rsidRDefault="007B3695" w:rsidP="003510D2">
            <w:pPr>
              <w:spacing w:before="60" w:after="60" w:line="240" w:lineRule="auto"/>
              <w:rPr>
                <w:sz w:val="18"/>
                <w:szCs w:val="18"/>
              </w:rPr>
            </w:pPr>
            <w:r>
              <w:rPr>
                <w:sz w:val="18"/>
                <w:szCs w:val="18"/>
              </w:rPr>
              <w:t xml:space="preserve">See proposed actions for </w:t>
            </w:r>
            <w:r>
              <w:rPr>
                <w:iCs/>
                <w:sz w:val="18"/>
                <w:szCs w:val="18"/>
              </w:rPr>
              <w:t>comments 1 – 3 from submission C.</w:t>
            </w:r>
          </w:p>
        </w:tc>
      </w:tr>
    </w:tbl>
    <w:p w14:paraId="7A6AA41B" w14:textId="77777777" w:rsidR="00824D72" w:rsidRPr="004A7EDD" w:rsidRDefault="00824D72" w:rsidP="00824D72">
      <w:pPr>
        <w:spacing w:before="0" w:after="0" w:line="240" w:lineRule="auto"/>
        <w:rPr>
          <w:sz w:val="24"/>
          <w:szCs w:val="24"/>
        </w:rPr>
      </w:pPr>
    </w:p>
    <w:p w14:paraId="6826A601" w14:textId="77777777" w:rsidR="00824D72" w:rsidRPr="004A7EDD" w:rsidRDefault="00824D72" w:rsidP="00824D72">
      <w:pPr>
        <w:spacing w:before="0" w:line="280" w:lineRule="atLeast"/>
        <w:rPr>
          <w:b/>
          <w:bCs/>
          <w:sz w:val="24"/>
          <w:szCs w:val="24"/>
        </w:rPr>
      </w:pPr>
      <w:r w:rsidRPr="004A7EDD">
        <w:rPr>
          <w:b/>
          <w:bCs/>
          <w:sz w:val="24"/>
          <w:szCs w:val="24"/>
        </w:rPr>
        <w:t>References</w:t>
      </w:r>
    </w:p>
    <w:p w14:paraId="2D261B55" w14:textId="5F7EA3F4" w:rsidR="00AD077B" w:rsidRDefault="00AD077B" w:rsidP="007B3695">
      <w:pPr>
        <w:spacing w:before="0" w:after="60" w:line="240" w:lineRule="atLeast"/>
        <w:rPr>
          <w:sz w:val="18"/>
          <w:szCs w:val="18"/>
        </w:rPr>
      </w:pPr>
      <w:r w:rsidRPr="00AD077B">
        <w:rPr>
          <w:sz w:val="18"/>
          <w:szCs w:val="18"/>
          <w:lang w:val="en-GB"/>
        </w:rPr>
        <w:t xml:space="preserve">ANZECC/ARMCANZ 2000. </w:t>
      </w:r>
      <w:r w:rsidRPr="00BD0CDF">
        <w:rPr>
          <w:sz w:val="18"/>
          <w:szCs w:val="18"/>
        </w:rPr>
        <w:t>Australian and New Zealand Guidelines for Fresh and Marine Water Quality</w:t>
      </w:r>
      <w:r>
        <w:rPr>
          <w:sz w:val="18"/>
          <w:szCs w:val="18"/>
          <w:lang w:val="en-GB"/>
        </w:rPr>
        <w:t>.</w:t>
      </w:r>
      <w:r w:rsidRPr="00AD077B">
        <w:rPr>
          <w:sz w:val="18"/>
          <w:szCs w:val="18"/>
          <w:lang w:val="en-GB"/>
        </w:rPr>
        <w:t xml:space="preserve"> National Water Quality Management Strategy, Paper No. 4, Australian and New Zealand Environment and Conservation Council and Agriculture and Resource Management Council of Australia and New Zealand, Canberra, Australia</w:t>
      </w:r>
    </w:p>
    <w:p w14:paraId="63E16AD0" w14:textId="45D590F0" w:rsidR="00BD0CDF" w:rsidRDefault="00BD0CDF" w:rsidP="007B3695">
      <w:pPr>
        <w:spacing w:before="0" w:after="60" w:line="240" w:lineRule="atLeast"/>
        <w:rPr>
          <w:sz w:val="18"/>
          <w:szCs w:val="18"/>
        </w:rPr>
      </w:pPr>
      <w:r w:rsidRPr="00BD0CDF">
        <w:rPr>
          <w:sz w:val="18"/>
          <w:szCs w:val="18"/>
        </w:rPr>
        <w:lastRenderedPageBreak/>
        <w:t>ANZG 2018. Australian and New Zealand Guidelines for Fresh and Marine Water Quality. Australian and New Zealand Governments and Australian state and territory governments, Canberra, ACT, Australia</w:t>
      </w:r>
      <w:r>
        <w:rPr>
          <w:sz w:val="18"/>
          <w:szCs w:val="18"/>
        </w:rPr>
        <w:t>.</w:t>
      </w:r>
      <w:r w:rsidR="00AD077B">
        <w:rPr>
          <w:sz w:val="18"/>
          <w:szCs w:val="18"/>
        </w:rPr>
        <w:t xml:space="preserve"> </w:t>
      </w:r>
      <w:hyperlink r:id="rId10" w:anchor="bioaccumulation" w:history="1">
        <w:r w:rsidR="00AD077B" w:rsidRPr="00CD1E7F">
          <w:rPr>
            <w:rStyle w:val="Hyperlink"/>
            <w:sz w:val="18"/>
            <w:szCs w:val="18"/>
          </w:rPr>
          <w:t>https://www.waterquality.gov.au/anz-guidelines/guideline-values/default/water-quality-toxicants/local-conditions#bioaccumulation</w:t>
        </w:r>
      </w:hyperlink>
      <w:r w:rsidR="00AD077B">
        <w:rPr>
          <w:sz w:val="18"/>
          <w:szCs w:val="18"/>
        </w:rPr>
        <w:t xml:space="preserve">. </w:t>
      </w:r>
    </w:p>
    <w:p w14:paraId="088870A6" w14:textId="2A9CFEA3" w:rsidR="00294081" w:rsidRDefault="00294081" w:rsidP="007B3695">
      <w:pPr>
        <w:spacing w:before="0" w:after="60" w:line="240" w:lineRule="atLeast"/>
        <w:rPr>
          <w:sz w:val="18"/>
          <w:szCs w:val="18"/>
          <w:lang w:val="es-ES"/>
        </w:rPr>
      </w:pPr>
      <w:r w:rsidRPr="00294081">
        <w:rPr>
          <w:sz w:val="18"/>
          <w:szCs w:val="18"/>
        </w:rPr>
        <w:t>Baddiley BL, Munns T, Braun C &amp; Vardy S 2020. Queensland Ambient PFAS Monitoring Program 2019-2020. Queensland Department of Environment and Science, Brisbane.</w:t>
      </w:r>
    </w:p>
    <w:p w14:paraId="11ADC3DF" w14:textId="52224A47" w:rsidR="00824D72" w:rsidRDefault="007B3695" w:rsidP="007B3695">
      <w:pPr>
        <w:spacing w:before="0" w:after="60" w:line="240" w:lineRule="atLeast"/>
        <w:rPr>
          <w:sz w:val="18"/>
          <w:szCs w:val="18"/>
        </w:rPr>
      </w:pPr>
      <w:r w:rsidRPr="2C4E3B28">
        <w:rPr>
          <w:sz w:val="18"/>
          <w:szCs w:val="18"/>
          <w:lang w:val="es-ES"/>
        </w:rPr>
        <w:t>Dawson</w:t>
      </w:r>
      <w:r>
        <w:rPr>
          <w:sz w:val="18"/>
          <w:szCs w:val="18"/>
          <w:lang w:val="es-ES"/>
        </w:rPr>
        <w:t xml:space="preserve"> P</w:t>
      </w:r>
      <w:r w:rsidRPr="2C4E3B28">
        <w:rPr>
          <w:sz w:val="18"/>
          <w:szCs w:val="18"/>
          <w:lang w:val="es-ES"/>
        </w:rPr>
        <w:t>, Le-Steere</w:t>
      </w:r>
      <w:r>
        <w:rPr>
          <w:sz w:val="18"/>
          <w:szCs w:val="18"/>
          <w:lang w:val="es-ES"/>
        </w:rPr>
        <w:t xml:space="preserve"> C</w:t>
      </w:r>
      <w:r w:rsidRPr="2C4E3B28">
        <w:rPr>
          <w:sz w:val="18"/>
          <w:szCs w:val="18"/>
          <w:lang w:val="es-ES"/>
        </w:rPr>
        <w:t>, Mann</w:t>
      </w:r>
      <w:r>
        <w:rPr>
          <w:sz w:val="18"/>
          <w:szCs w:val="18"/>
          <w:lang w:val="es-ES"/>
        </w:rPr>
        <w:t xml:space="preserve"> RM</w:t>
      </w:r>
      <w:r w:rsidRPr="2C4E3B28">
        <w:rPr>
          <w:sz w:val="18"/>
          <w:szCs w:val="18"/>
          <w:lang w:val="es-ES"/>
        </w:rPr>
        <w:t xml:space="preserve">, Stauber </w:t>
      </w:r>
      <w:r>
        <w:rPr>
          <w:sz w:val="18"/>
          <w:szCs w:val="18"/>
          <w:lang w:val="es-ES"/>
        </w:rPr>
        <w:t>J &amp;</w:t>
      </w:r>
      <w:r w:rsidRPr="2C4E3B28">
        <w:rPr>
          <w:sz w:val="18"/>
          <w:szCs w:val="18"/>
          <w:lang w:val="es-ES"/>
        </w:rPr>
        <w:t xml:space="preserve"> Vardy </w:t>
      </w:r>
      <w:r>
        <w:rPr>
          <w:sz w:val="18"/>
          <w:szCs w:val="18"/>
          <w:lang w:val="es-ES"/>
        </w:rPr>
        <w:t xml:space="preserve">2 </w:t>
      </w:r>
      <w:r w:rsidRPr="2C4E3B28">
        <w:rPr>
          <w:sz w:val="18"/>
          <w:szCs w:val="18"/>
          <w:lang w:val="es-ES"/>
        </w:rPr>
        <w:t>202</w:t>
      </w:r>
      <w:r>
        <w:rPr>
          <w:sz w:val="18"/>
          <w:szCs w:val="18"/>
          <w:lang w:val="es-ES"/>
        </w:rPr>
        <w:t xml:space="preserve">4. </w:t>
      </w:r>
      <w:r w:rsidRPr="00C944BA">
        <w:rPr>
          <w:sz w:val="18"/>
          <w:szCs w:val="18"/>
        </w:rPr>
        <w:t>I</w:t>
      </w:r>
      <w:r w:rsidRPr="2C4E3B28">
        <w:rPr>
          <w:sz w:val="18"/>
          <w:szCs w:val="18"/>
        </w:rPr>
        <w:t>ndependent Review of Key Issues Arising from Public Comments on the PFOS Freshwater Draft Guideline Values.</w:t>
      </w:r>
      <w:r>
        <w:rPr>
          <w:sz w:val="18"/>
          <w:szCs w:val="18"/>
        </w:rPr>
        <w:t xml:space="preserve"> </w:t>
      </w:r>
      <w:r w:rsidRPr="2C4E3B28">
        <w:rPr>
          <w:sz w:val="18"/>
          <w:szCs w:val="18"/>
        </w:rPr>
        <w:t xml:space="preserve">Report for </w:t>
      </w:r>
      <w:r>
        <w:rPr>
          <w:sz w:val="18"/>
          <w:szCs w:val="18"/>
        </w:rPr>
        <w:t>the Australian Government Department of Climate Change, Energy, the Environment and Water, Canberra.</w:t>
      </w:r>
    </w:p>
    <w:p w14:paraId="45EB7F26" w14:textId="005F909D" w:rsidR="007B3695" w:rsidRDefault="007B3695" w:rsidP="007B3695">
      <w:pPr>
        <w:spacing w:before="0" w:after="60" w:line="240" w:lineRule="atLeast"/>
        <w:rPr>
          <w:sz w:val="18"/>
          <w:szCs w:val="18"/>
        </w:rPr>
      </w:pPr>
      <w:bookmarkStart w:id="0" w:name="_Ref430042601"/>
      <w:r w:rsidRPr="007B3695">
        <w:rPr>
          <w:sz w:val="18"/>
          <w:szCs w:val="18"/>
        </w:rPr>
        <w:t>Keiter S, Baumann L, Färber H, Holbech H, Skutlarek D, Engwall M &amp; Braunbeck T 2012. Long-term effects of a binary mixture of perfluorooctane sulfonate (PFOS) and bisphenol A (BPA) in zebrafish (</w:t>
      </w:r>
      <w:r w:rsidRPr="007B3695">
        <w:rPr>
          <w:i/>
          <w:iCs/>
          <w:sz w:val="18"/>
          <w:szCs w:val="18"/>
        </w:rPr>
        <w:t>Danio rerio</w:t>
      </w:r>
      <w:r w:rsidRPr="007B3695">
        <w:rPr>
          <w:sz w:val="18"/>
          <w:szCs w:val="18"/>
        </w:rPr>
        <w:t xml:space="preserve">). </w:t>
      </w:r>
      <w:r w:rsidRPr="007B3695">
        <w:rPr>
          <w:i/>
          <w:iCs/>
          <w:sz w:val="18"/>
          <w:szCs w:val="18"/>
        </w:rPr>
        <w:t>Aquatic Toxicology</w:t>
      </w:r>
      <w:r w:rsidRPr="007B3695">
        <w:rPr>
          <w:sz w:val="18"/>
          <w:szCs w:val="18"/>
        </w:rPr>
        <w:t>, 118–119, 116–129.</w:t>
      </w:r>
      <w:bookmarkEnd w:id="0"/>
    </w:p>
    <w:p w14:paraId="7E0C67CC" w14:textId="22AC7AE0" w:rsidR="00824D72" w:rsidRDefault="007B3695" w:rsidP="007B3695">
      <w:pPr>
        <w:spacing w:before="0" w:after="60" w:line="240" w:lineRule="atLeast"/>
        <w:rPr>
          <w:sz w:val="18"/>
          <w:szCs w:val="18"/>
          <w:lang w:val="en-GB"/>
        </w:rPr>
      </w:pPr>
      <w:r w:rsidRPr="007B3695">
        <w:rPr>
          <w:sz w:val="18"/>
          <w:szCs w:val="18"/>
          <w:lang w:val="en-GB"/>
        </w:rPr>
        <w:t>Warne MStJ,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sectPr w:rsidR="00824D72" w:rsidSect="00C93DA6">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7A11" w14:textId="77777777" w:rsidR="00BB48B4" w:rsidRDefault="00BB48B4" w:rsidP="00BB48B4">
      <w:pPr>
        <w:spacing w:before="0" w:after="0" w:line="240" w:lineRule="auto"/>
      </w:pPr>
      <w:r>
        <w:separator/>
      </w:r>
    </w:p>
  </w:endnote>
  <w:endnote w:type="continuationSeparator" w:id="0">
    <w:p w14:paraId="3160D825" w14:textId="77777777" w:rsidR="00BB48B4" w:rsidRDefault="00BB48B4" w:rsidP="00BB48B4">
      <w:pPr>
        <w:spacing w:before="0" w:after="0" w:line="240" w:lineRule="auto"/>
      </w:pPr>
      <w:r>
        <w:continuationSeparator/>
      </w:r>
    </w:p>
  </w:endnote>
  <w:endnote w:type="continuationNotice" w:id="1">
    <w:p w14:paraId="2CDA6C2A" w14:textId="77777777" w:rsidR="00235850" w:rsidRDefault="002358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CS)">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8C64" w14:textId="42379712" w:rsidR="00BB48B4" w:rsidRDefault="00BB48B4">
    <w:pPr>
      <w:pStyle w:val="Footer"/>
    </w:pPr>
    <w:r>
      <w:rPr>
        <w:noProof/>
        <w14:ligatures w14:val="standardContextual"/>
      </w:rPr>
      <mc:AlternateContent>
        <mc:Choice Requires="wps">
          <w:drawing>
            <wp:anchor distT="0" distB="0" distL="0" distR="0" simplePos="0" relativeHeight="251658242" behindDoc="0" locked="0" layoutInCell="1" allowOverlap="1" wp14:anchorId="69AB76D0" wp14:editId="760B10CF">
              <wp:simplePos x="635" y="635"/>
              <wp:positionH relativeFrom="page">
                <wp:align>center</wp:align>
              </wp:positionH>
              <wp:positionV relativeFrom="page">
                <wp:align>bottom</wp:align>
              </wp:positionV>
              <wp:extent cx="551815" cy="480695"/>
              <wp:effectExtent l="0" t="0" r="635" b="0"/>
              <wp:wrapNone/>
              <wp:docPr id="7051653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7A59257" w14:textId="65EBE9C5"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B76D0"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37A59257" w14:textId="65EBE9C5"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CD1B" w14:textId="489D4D1A" w:rsidR="00BB48B4" w:rsidRDefault="00BB48B4">
    <w:pPr>
      <w:pStyle w:val="Footer"/>
    </w:pPr>
    <w:r>
      <w:rPr>
        <w:noProof/>
        <w14:ligatures w14:val="standardContextual"/>
      </w:rPr>
      <mc:AlternateContent>
        <mc:Choice Requires="wps">
          <w:drawing>
            <wp:anchor distT="0" distB="0" distL="0" distR="0" simplePos="0" relativeHeight="251658243" behindDoc="0" locked="0" layoutInCell="1" allowOverlap="1" wp14:anchorId="55A3B1EA" wp14:editId="7B029E41">
              <wp:simplePos x="914400" y="6934200"/>
              <wp:positionH relativeFrom="page">
                <wp:align>center</wp:align>
              </wp:positionH>
              <wp:positionV relativeFrom="page">
                <wp:align>bottom</wp:align>
              </wp:positionV>
              <wp:extent cx="551815" cy="480695"/>
              <wp:effectExtent l="0" t="0" r="635" b="0"/>
              <wp:wrapNone/>
              <wp:docPr id="20797161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22D3BCB" w14:textId="3C5B9EEE"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3B1EA"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222D3BCB" w14:textId="3C5B9EEE"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2C5D" w14:textId="61383C8F" w:rsidR="00BB48B4" w:rsidRDefault="00BB48B4">
    <w:pPr>
      <w:pStyle w:val="Footer"/>
    </w:pPr>
    <w:r>
      <w:rPr>
        <w:noProof/>
        <w14:ligatures w14:val="standardContextual"/>
      </w:rPr>
      <mc:AlternateContent>
        <mc:Choice Requires="wps">
          <w:drawing>
            <wp:anchor distT="0" distB="0" distL="0" distR="0" simplePos="0" relativeHeight="251658245" behindDoc="0" locked="0" layoutInCell="1" allowOverlap="1" wp14:anchorId="45781C08" wp14:editId="53AC655D">
              <wp:simplePos x="635" y="635"/>
              <wp:positionH relativeFrom="page">
                <wp:align>center</wp:align>
              </wp:positionH>
              <wp:positionV relativeFrom="page">
                <wp:align>bottom</wp:align>
              </wp:positionV>
              <wp:extent cx="551815" cy="480695"/>
              <wp:effectExtent l="0" t="0" r="635" b="0"/>
              <wp:wrapNone/>
              <wp:docPr id="1282852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43E4DA" w14:textId="4EAF4733"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81C08"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3343E4DA" w14:textId="4EAF4733"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4502" w14:textId="77777777" w:rsidR="00BB48B4" w:rsidRDefault="00BB48B4" w:rsidP="00BB48B4">
      <w:pPr>
        <w:spacing w:before="0" w:after="0" w:line="240" w:lineRule="auto"/>
      </w:pPr>
      <w:r>
        <w:separator/>
      </w:r>
    </w:p>
  </w:footnote>
  <w:footnote w:type="continuationSeparator" w:id="0">
    <w:p w14:paraId="1B2EE252" w14:textId="77777777" w:rsidR="00BB48B4" w:rsidRDefault="00BB48B4" w:rsidP="00BB48B4">
      <w:pPr>
        <w:spacing w:before="0" w:after="0" w:line="240" w:lineRule="auto"/>
      </w:pPr>
      <w:r>
        <w:continuationSeparator/>
      </w:r>
    </w:p>
  </w:footnote>
  <w:footnote w:type="continuationNotice" w:id="1">
    <w:p w14:paraId="13BF78F3" w14:textId="77777777" w:rsidR="00235850" w:rsidRDefault="002358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1392" w14:textId="6C59C63B" w:rsidR="00BB48B4" w:rsidRDefault="00BB48B4">
    <w:pPr>
      <w:pStyle w:val="Header"/>
    </w:pPr>
    <w:r>
      <w:rPr>
        <w:noProof/>
        <w14:ligatures w14:val="standardContextual"/>
      </w:rPr>
      <mc:AlternateContent>
        <mc:Choice Requires="wps">
          <w:drawing>
            <wp:anchor distT="0" distB="0" distL="0" distR="0" simplePos="0" relativeHeight="251658240" behindDoc="0" locked="0" layoutInCell="1" allowOverlap="1" wp14:anchorId="4B16C902" wp14:editId="0862B8F9">
              <wp:simplePos x="635" y="635"/>
              <wp:positionH relativeFrom="page">
                <wp:align>center</wp:align>
              </wp:positionH>
              <wp:positionV relativeFrom="page">
                <wp:align>top</wp:align>
              </wp:positionV>
              <wp:extent cx="551815" cy="480695"/>
              <wp:effectExtent l="0" t="0" r="635" b="14605"/>
              <wp:wrapNone/>
              <wp:docPr id="5044350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5C988E9" w14:textId="0F961961"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6C902"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5C988E9" w14:textId="0F961961"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63F6" w14:textId="279877F7" w:rsidR="00BB48B4" w:rsidRDefault="00BB48B4">
    <w:pPr>
      <w:pStyle w:val="Header"/>
    </w:pPr>
    <w:r>
      <w:rPr>
        <w:noProof/>
        <w14:ligatures w14:val="standardContextual"/>
      </w:rPr>
      <mc:AlternateContent>
        <mc:Choice Requires="wps">
          <w:drawing>
            <wp:anchor distT="0" distB="0" distL="0" distR="0" simplePos="0" relativeHeight="251658241" behindDoc="0" locked="0" layoutInCell="1" allowOverlap="1" wp14:anchorId="1F3EFFFF" wp14:editId="4CBCEAB4">
              <wp:simplePos x="914400" y="447675"/>
              <wp:positionH relativeFrom="page">
                <wp:align>center</wp:align>
              </wp:positionH>
              <wp:positionV relativeFrom="page">
                <wp:align>top</wp:align>
              </wp:positionV>
              <wp:extent cx="551815" cy="480695"/>
              <wp:effectExtent l="0" t="0" r="635" b="14605"/>
              <wp:wrapNone/>
              <wp:docPr id="17794969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C2A03F2" w14:textId="12E62ADE"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EFFFF"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C2A03F2" w14:textId="12E62ADE"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FD95" w14:textId="5A53E1E7" w:rsidR="00BB48B4" w:rsidRDefault="00BB48B4">
    <w:pPr>
      <w:pStyle w:val="Header"/>
    </w:pPr>
    <w:r>
      <w:rPr>
        <w:noProof/>
        <w14:ligatures w14:val="standardContextual"/>
      </w:rPr>
      <mc:AlternateContent>
        <mc:Choice Requires="wps">
          <w:drawing>
            <wp:anchor distT="0" distB="0" distL="0" distR="0" simplePos="0" relativeHeight="251658244" behindDoc="0" locked="0" layoutInCell="1" allowOverlap="1" wp14:anchorId="5F0E35BB" wp14:editId="5AF770DB">
              <wp:simplePos x="635" y="635"/>
              <wp:positionH relativeFrom="page">
                <wp:align>center</wp:align>
              </wp:positionH>
              <wp:positionV relativeFrom="page">
                <wp:align>top</wp:align>
              </wp:positionV>
              <wp:extent cx="551815" cy="480695"/>
              <wp:effectExtent l="0" t="0" r="635" b="14605"/>
              <wp:wrapNone/>
              <wp:docPr id="15614923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971E607" w14:textId="71925EE0"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E35BB"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0971E607" w14:textId="71925EE0" w:rsidR="00BB48B4" w:rsidRPr="00BB48B4" w:rsidRDefault="00BB48B4" w:rsidP="00BB48B4">
                    <w:pPr>
                      <w:spacing w:after="0"/>
                      <w:rPr>
                        <w:rFonts w:cs="Calibri"/>
                        <w:noProof/>
                        <w:color w:val="FF0000"/>
                        <w:sz w:val="24"/>
                        <w:szCs w:val="24"/>
                      </w:rPr>
                    </w:pPr>
                    <w:r w:rsidRPr="00BB48B4">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7FF"/>
    <w:multiLevelType w:val="multilevel"/>
    <w:tmpl w:val="83E67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9820E5"/>
    <w:multiLevelType w:val="multilevel"/>
    <w:tmpl w:val="16C6F628"/>
    <w:lvl w:ilvl="0">
      <w:start w:val="1"/>
      <w:numFmt w:val="decimal"/>
      <w:lvlText w:val="%1"/>
      <w:lvlJc w:val="left"/>
      <w:pPr>
        <w:ind w:left="-703" w:hanging="432"/>
      </w:pPr>
      <w:rPr>
        <w:rFonts w:hint="default"/>
      </w:rPr>
    </w:lvl>
    <w:lvl w:ilvl="1">
      <w:start w:val="1"/>
      <w:numFmt w:val="decimal"/>
      <w:lvlText w:val="%1.%2"/>
      <w:lvlJc w:val="left"/>
      <w:pPr>
        <w:ind w:left="-55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1" w:hanging="864"/>
      </w:pPr>
      <w:rPr>
        <w:rFonts w:hint="default"/>
      </w:rPr>
    </w:lvl>
    <w:lvl w:ilvl="4">
      <w:start w:val="1"/>
      <w:numFmt w:val="decimal"/>
      <w:lvlText w:val="%1.%2.%3.%4.%5"/>
      <w:lvlJc w:val="left"/>
      <w:pPr>
        <w:ind w:left="-127" w:hanging="1008"/>
      </w:pPr>
      <w:rPr>
        <w:rFonts w:hint="default"/>
      </w:rPr>
    </w:lvl>
    <w:lvl w:ilvl="5">
      <w:start w:val="1"/>
      <w:numFmt w:val="decimal"/>
      <w:lvlText w:val="%1.%2.%3.%4.%5.%6"/>
      <w:lvlJc w:val="left"/>
      <w:pPr>
        <w:ind w:left="17" w:hanging="1152"/>
      </w:pPr>
      <w:rPr>
        <w:rFonts w:hint="default"/>
      </w:rPr>
    </w:lvl>
    <w:lvl w:ilvl="6">
      <w:start w:val="1"/>
      <w:numFmt w:val="decimal"/>
      <w:lvlText w:val="%1.%2.%3.%4.%5.%6.%7"/>
      <w:lvlJc w:val="left"/>
      <w:pPr>
        <w:ind w:left="161" w:hanging="1296"/>
      </w:pPr>
      <w:rPr>
        <w:rFonts w:hint="default"/>
      </w:rPr>
    </w:lvl>
    <w:lvl w:ilvl="7">
      <w:start w:val="1"/>
      <w:numFmt w:val="decimal"/>
      <w:lvlText w:val="%1.%2.%3.%4.%5.%6.%7.%8"/>
      <w:lvlJc w:val="left"/>
      <w:pPr>
        <w:ind w:left="305" w:hanging="1440"/>
      </w:pPr>
      <w:rPr>
        <w:rFonts w:hint="default"/>
      </w:rPr>
    </w:lvl>
    <w:lvl w:ilvl="8">
      <w:start w:val="1"/>
      <w:numFmt w:val="decimal"/>
      <w:lvlText w:val="%1.%2.%3.%4.%5.%6.%7.%8.%9"/>
      <w:lvlJc w:val="left"/>
      <w:pPr>
        <w:ind w:left="449" w:hanging="1584"/>
      </w:pPr>
      <w:rPr>
        <w:rFonts w:hint="default"/>
      </w:rPr>
    </w:lvl>
  </w:abstractNum>
  <w:abstractNum w:abstractNumId="2" w15:restartNumberingAfterBreak="0">
    <w:nsid w:val="0B4639EA"/>
    <w:multiLevelType w:val="hybridMultilevel"/>
    <w:tmpl w:val="F8F8D1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56C97"/>
    <w:multiLevelType w:val="hybridMultilevel"/>
    <w:tmpl w:val="33BE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16909"/>
    <w:multiLevelType w:val="hybridMultilevel"/>
    <w:tmpl w:val="D06A33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D4DE6"/>
    <w:multiLevelType w:val="hybridMultilevel"/>
    <w:tmpl w:val="2B3C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BD5A8B"/>
    <w:multiLevelType w:val="hybridMultilevel"/>
    <w:tmpl w:val="D0D068AC"/>
    <w:lvl w:ilvl="0" w:tplc="81C87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3266B"/>
    <w:multiLevelType w:val="hybridMultilevel"/>
    <w:tmpl w:val="CE46D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36F08"/>
    <w:multiLevelType w:val="hybridMultilevel"/>
    <w:tmpl w:val="2B3C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8546B0"/>
    <w:multiLevelType w:val="hybridMultilevel"/>
    <w:tmpl w:val="91B2E1E4"/>
    <w:lvl w:ilvl="0" w:tplc="447E1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D2FF2"/>
    <w:multiLevelType w:val="hybridMultilevel"/>
    <w:tmpl w:val="45A4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27D22"/>
    <w:multiLevelType w:val="multilevel"/>
    <w:tmpl w:val="9496E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40F7B3A"/>
    <w:multiLevelType w:val="hybridMultilevel"/>
    <w:tmpl w:val="CE46D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0C5339"/>
    <w:multiLevelType w:val="hybridMultilevel"/>
    <w:tmpl w:val="3F8688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0E0B09"/>
    <w:multiLevelType w:val="hybridMultilevel"/>
    <w:tmpl w:val="155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10612"/>
    <w:multiLevelType w:val="hybridMultilevel"/>
    <w:tmpl w:val="21D4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7717A"/>
    <w:multiLevelType w:val="multilevel"/>
    <w:tmpl w:val="F33026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9E29C9"/>
    <w:multiLevelType w:val="multilevel"/>
    <w:tmpl w:val="0809001D"/>
    <w:styleLink w:val="Recommenda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8921463">
    <w:abstractNumId w:val="17"/>
  </w:num>
  <w:num w:numId="2" w16cid:durableId="650184458">
    <w:abstractNumId w:val="1"/>
  </w:num>
  <w:num w:numId="3" w16cid:durableId="1865896239">
    <w:abstractNumId w:val="1"/>
  </w:num>
  <w:num w:numId="4" w16cid:durableId="137960418">
    <w:abstractNumId w:val="1"/>
  </w:num>
  <w:num w:numId="5" w16cid:durableId="1634368130">
    <w:abstractNumId w:val="1"/>
  </w:num>
  <w:num w:numId="6" w16cid:durableId="982193380">
    <w:abstractNumId w:val="1"/>
  </w:num>
  <w:num w:numId="7" w16cid:durableId="1963342890">
    <w:abstractNumId w:val="1"/>
  </w:num>
  <w:num w:numId="8" w16cid:durableId="1782798006">
    <w:abstractNumId w:val="1"/>
  </w:num>
  <w:num w:numId="9" w16cid:durableId="766268083">
    <w:abstractNumId w:val="1"/>
  </w:num>
  <w:num w:numId="10" w16cid:durableId="663556984">
    <w:abstractNumId w:val="1"/>
  </w:num>
  <w:num w:numId="11" w16cid:durableId="700975109">
    <w:abstractNumId w:val="11"/>
  </w:num>
  <w:num w:numId="12" w16cid:durableId="286477405">
    <w:abstractNumId w:val="16"/>
    <w:lvlOverride w:ilvl="0">
      <w:startOverride w:val="2"/>
    </w:lvlOverride>
    <w:lvlOverride w:ilvl="1">
      <w:startOverride w:val="2"/>
    </w:lvlOverride>
    <w:lvlOverride w:ilvl="2">
      <w:startOverride w:val="2"/>
    </w:lvlOverride>
  </w:num>
  <w:num w:numId="13" w16cid:durableId="314837973">
    <w:abstractNumId w:val="0"/>
  </w:num>
  <w:num w:numId="14" w16cid:durableId="87697084">
    <w:abstractNumId w:val="16"/>
  </w:num>
  <w:num w:numId="15" w16cid:durableId="65539552">
    <w:abstractNumId w:val="16"/>
  </w:num>
  <w:num w:numId="16" w16cid:durableId="427236580">
    <w:abstractNumId w:val="16"/>
  </w:num>
  <w:num w:numId="17" w16cid:durableId="1532647145">
    <w:abstractNumId w:val="16"/>
    <w:lvlOverride w:ilvl="0">
      <w:startOverride w:val="2"/>
    </w:lvlOverride>
    <w:lvlOverride w:ilvl="1">
      <w:startOverride w:val="2"/>
    </w:lvlOverride>
    <w:lvlOverride w:ilvl="2">
      <w:startOverride w:val="2"/>
    </w:lvlOverride>
  </w:num>
  <w:num w:numId="18" w16cid:durableId="1373530550">
    <w:abstractNumId w:val="16"/>
  </w:num>
  <w:num w:numId="19" w16cid:durableId="307708000">
    <w:abstractNumId w:val="16"/>
  </w:num>
  <w:num w:numId="20" w16cid:durableId="989674891">
    <w:abstractNumId w:val="16"/>
  </w:num>
  <w:num w:numId="21" w16cid:durableId="917054098">
    <w:abstractNumId w:val="16"/>
  </w:num>
  <w:num w:numId="22" w16cid:durableId="632710462">
    <w:abstractNumId w:val="6"/>
  </w:num>
  <w:num w:numId="23" w16cid:durableId="301275218">
    <w:abstractNumId w:val="9"/>
  </w:num>
  <w:num w:numId="24" w16cid:durableId="1042900697">
    <w:abstractNumId w:val="4"/>
  </w:num>
  <w:num w:numId="25" w16cid:durableId="1774784025">
    <w:abstractNumId w:val="3"/>
  </w:num>
  <w:num w:numId="26" w16cid:durableId="979188621">
    <w:abstractNumId w:val="13"/>
  </w:num>
  <w:num w:numId="27" w16cid:durableId="478376913">
    <w:abstractNumId w:val="15"/>
  </w:num>
  <w:num w:numId="28" w16cid:durableId="970130693">
    <w:abstractNumId w:val="10"/>
  </w:num>
  <w:num w:numId="29" w16cid:durableId="1272396896">
    <w:abstractNumId w:val="14"/>
  </w:num>
  <w:num w:numId="30" w16cid:durableId="297035975">
    <w:abstractNumId w:val="2"/>
  </w:num>
  <w:num w:numId="31" w16cid:durableId="794979333">
    <w:abstractNumId w:val="5"/>
  </w:num>
  <w:num w:numId="32" w16cid:durableId="1173448551">
    <w:abstractNumId w:val="12"/>
  </w:num>
  <w:num w:numId="33" w16cid:durableId="369577825">
    <w:abstractNumId w:val="7"/>
  </w:num>
  <w:num w:numId="34" w16cid:durableId="1377777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72"/>
    <w:rsid w:val="00010C27"/>
    <w:rsid w:val="000238D3"/>
    <w:rsid w:val="00037C05"/>
    <w:rsid w:val="00063F93"/>
    <w:rsid w:val="00064189"/>
    <w:rsid w:val="000A286C"/>
    <w:rsid w:val="000B67A4"/>
    <w:rsid w:val="000E3F63"/>
    <w:rsid w:val="001152B1"/>
    <w:rsid w:val="001218F1"/>
    <w:rsid w:val="00180BB6"/>
    <w:rsid w:val="001F3C28"/>
    <w:rsid w:val="0020052F"/>
    <w:rsid w:val="00214540"/>
    <w:rsid w:val="00216F23"/>
    <w:rsid w:val="00235850"/>
    <w:rsid w:val="002507E9"/>
    <w:rsid w:val="002718D4"/>
    <w:rsid w:val="00294081"/>
    <w:rsid w:val="002B1C11"/>
    <w:rsid w:val="002C20E8"/>
    <w:rsid w:val="002D368D"/>
    <w:rsid w:val="003150A1"/>
    <w:rsid w:val="003234B0"/>
    <w:rsid w:val="003510D2"/>
    <w:rsid w:val="00401B9D"/>
    <w:rsid w:val="00407071"/>
    <w:rsid w:val="004114D2"/>
    <w:rsid w:val="004E3731"/>
    <w:rsid w:val="00513270"/>
    <w:rsid w:val="00533E3C"/>
    <w:rsid w:val="005419C4"/>
    <w:rsid w:val="005537B1"/>
    <w:rsid w:val="005A74AE"/>
    <w:rsid w:val="005C07C9"/>
    <w:rsid w:val="005F43E1"/>
    <w:rsid w:val="006148FA"/>
    <w:rsid w:val="00616723"/>
    <w:rsid w:val="00616DF7"/>
    <w:rsid w:val="006423A0"/>
    <w:rsid w:val="006A48FF"/>
    <w:rsid w:val="00744C59"/>
    <w:rsid w:val="00760F38"/>
    <w:rsid w:val="007923AD"/>
    <w:rsid w:val="007B3695"/>
    <w:rsid w:val="00816D7A"/>
    <w:rsid w:val="00824D72"/>
    <w:rsid w:val="00847165"/>
    <w:rsid w:val="008505C4"/>
    <w:rsid w:val="00923421"/>
    <w:rsid w:val="009A02A0"/>
    <w:rsid w:val="009C4F06"/>
    <w:rsid w:val="009C5162"/>
    <w:rsid w:val="00A43B7A"/>
    <w:rsid w:val="00A45CB1"/>
    <w:rsid w:val="00A4647C"/>
    <w:rsid w:val="00A95B34"/>
    <w:rsid w:val="00A95E89"/>
    <w:rsid w:val="00AA212F"/>
    <w:rsid w:val="00AD077B"/>
    <w:rsid w:val="00B35E50"/>
    <w:rsid w:val="00B600C2"/>
    <w:rsid w:val="00B75F17"/>
    <w:rsid w:val="00B91248"/>
    <w:rsid w:val="00B92604"/>
    <w:rsid w:val="00BA15B9"/>
    <w:rsid w:val="00BB48B4"/>
    <w:rsid w:val="00BC1068"/>
    <w:rsid w:val="00BD0CDF"/>
    <w:rsid w:val="00BE1577"/>
    <w:rsid w:val="00C51A4B"/>
    <w:rsid w:val="00C6533F"/>
    <w:rsid w:val="00C70511"/>
    <w:rsid w:val="00C70727"/>
    <w:rsid w:val="00C93DA6"/>
    <w:rsid w:val="00CD2B96"/>
    <w:rsid w:val="00CE0D25"/>
    <w:rsid w:val="00CE2A87"/>
    <w:rsid w:val="00D87C10"/>
    <w:rsid w:val="00DE57B0"/>
    <w:rsid w:val="00E170BB"/>
    <w:rsid w:val="00E407AA"/>
    <w:rsid w:val="00E44EAA"/>
    <w:rsid w:val="00E76F38"/>
    <w:rsid w:val="00EA4569"/>
    <w:rsid w:val="00EA5868"/>
    <w:rsid w:val="00EC5529"/>
    <w:rsid w:val="00EE78A5"/>
    <w:rsid w:val="00EF40A1"/>
    <w:rsid w:val="00F1372A"/>
    <w:rsid w:val="00F83B1B"/>
    <w:rsid w:val="00F83E15"/>
    <w:rsid w:val="00FB684A"/>
    <w:rsid w:val="00FF6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59A"/>
  <w15:chartTrackingRefBased/>
  <w15:docId w15:val="{E0BCF7C6-6657-CB4A-AD99-BEE00BAC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824D72"/>
    <w:pPr>
      <w:spacing w:before="120" w:after="12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autoRedefine/>
    <w:uiPriority w:val="9"/>
    <w:qFormat/>
    <w:rsid w:val="00037C05"/>
    <w:pPr>
      <w:keepNext/>
      <w:keepLines/>
      <w:numPr>
        <w:numId w:val="21"/>
      </w:numPr>
      <w:adjustRightInd w:val="0"/>
      <w:spacing w:before="240" w:line="280" w:lineRule="atLeast"/>
      <w:outlineLvl w:val="0"/>
    </w:pPr>
    <w:rPr>
      <w:rFonts w:ascii="Arial" w:eastAsiaTheme="majorEastAsia" w:hAnsi="Arial" w:cstheme="majorBidi"/>
      <w:bCs/>
      <w:color w:val="77206D" w:themeColor="accent5" w:themeShade="BF"/>
      <w:spacing w:val="-40"/>
      <w:kern w:val="2"/>
      <w:sz w:val="48"/>
      <w:szCs w:val="54"/>
      <w:lang w:val="en-GB"/>
      <w14:ligatures w14:val="standardContextual"/>
    </w:rPr>
  </w:style>
  <w:style w:type="paragraph" w:styleId="Heading2">
    <w:name w:val="heading 2"/>
    <w:basedOn w:val="Normal"/>
    <w:next w:val="Normal"/>
    <w:link w:val="Heading2Char"/>
    <w:autoRedefine/>
    <w:uiPriority w:val="9"/>
    <w:unhideWhenUsed/>
    <w:qFormat/>
    <w:rsid w:val="00037C05"/>
    <w:pPr>
      <w:keepNext/>
      <w:keepLines/>
      <w:numPr>
        <w:ilvl w:val="1"/>
        <w:numId w:val="12"/>
      </w:numPr>
      <w:adjustRightInd w:val="0"/>
      <w:spacing w:before="240" w:after="160" w:line="280" w:lineRule="atLeast"/>
      <w:ind w:left="578" w:hanging="578"/>
      <w:outlineLvl w:val="1"/>
    </w:pPr>
    <w:rPr>
      <w:rFonts w:ascii="Arial" w:eastAsiaTheme="majorEastAsia" w:hAnsi="Arial" w:cstheme="majorBidi"/>
      <w:bCs/>
      <w:color w:val="77206D" w:themeColor="accent5" w:themeShade="BF"/>
      <w:kern w:val="2"/>
      <w:sz w:val="36"/>
      <w:szCs w:val="26"/>
      <w14:ligatures w14:val="standardContextual"/>
    </w:rPr>
  </w:style>
  <w:style w:type="paragraph" w:styleId="Heading3">
    <w:name w:val="heading 3"/>
    <w:basedOn w:val="Normal"/>
    <w:next w:val="Normal"/>
    <w:link w:val="Heading3Char"/>
    <w:autoRedefine/>
    <w:uiPriority w:val="9"/>
    <w:unhideWhenUsed/>
    <w:qFormat/>
    <w:rsid w:val="00037C05"/>
    <w:pPr>
      <w:keepNext/>
      <w:keepLines/>
      <w:numPr>
        <w:ilvl w:val="2"/>
        <w:numId w:val="21"/>
      </w:numPr>
      <w:adjustRightInd w:val="0"/>
      <w:spacing w:before="240" w:line="288" w:lineRule="auto"/>
      <w:outlineLvl w:val="2"/>
    </w:pPr>
    <w:rPr>
      <w:rFonts w:ascii="Arial" w:eastAsiaTheme="majorEastAsia" w:hAnsi="Arial" w:cs="Arial (Headings CS)"/>
      <w:bCs/>
      <w:color w:val="156082" w:themeColor="accent1"/>
      <w:kern w:val="2"/>
      <w:sz w:val="28"/>
      <w:szCs w:val="24"/>
      <w:lang w:val="en-GB"/>
      <w14:ligatures w14:val="standardContextual"/>
    </w:rPr>
  </w:style>
  <w:style w:type="paragraph" w:styleId="Heading4">
    <w:name w:val="heading 4"/>
    <w:basedOn w:val="Normal"/>
    <w:next w:val="Normal"/>
    <w:link w:val="Heading4Char"/>
    <w:uiPriority w:val="9"/>
    <w:unhideWhenUsed/>
    <w:qFormat/>
    <w:rsid w:val="00B92604"/>
    <w:pPr>
      <w:keepNext/>
      <w:keepLines/>
      <w:numPr>
        <w:ilvl w:val="3"/>
        <w:numId w:val="13"/>
      </w:numPr>
      <w:spacing w:before="40" w:line="280" w:lineRule="atLeast"/>
      <w:ind w:left="864" w:hanging="864"/>
      <w:outlineLvl w:val="3"/>
    </w:pPr>
    <w:rPr>
      <w:rFonts w:asciiTheme="majorHAnsi" w:eastAsiaTheme="majorEastAsia" w:hAnsiTheme="majorHAnsi" w:cstheme="majorBidi"/>
      <w:i/>
      <w:iCs/>
      <w:color w:val="77206D" w:themeColor="accent5" w:themeShade="BF"/>
      <w:kern w:val="2"/>
      <w:sz w:val="24"/>
      <w:szCs w:val="24"/>
      <w14:ligatures w14:val="standardContextual"/>
    </w:rPr>
  </w:style>
  <w:style w:type="paragraph" w:styleId="Heading5">
    <w:name w:val="heading 5"/>
    <w:basedOn w:val="Normal"/>
    <w:next w:val="Normal"/>
    <w:link w:val="Heading5Char"/>
    <w:uiPriority w:val="9"/>
    <w:unhideWhenUsed/>
    <w:qFormat/>
    <w:rsid w:val="00B92604"/>
    <w:pPr>
      <w:keepNext/>
      <w:keepLines/>
      <w:spacing w:before="40" w:line="280" w:lineRule="atLeast"/>
      <w:outlineLvl w:val="4"/>
    </w:pPr>
    <w:rPr>
      <w:rFonts w:asciiTheme="majorHAnsi" w:eastAsiaTheme="majorEastAsia" w:hAnsiTheme="maj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24D72"/>
    <w:pPr>
      <w:keepNext/>
      <w:keepLines/>
      <w:spacing w:before="40" w:after="0" w:line="280" w:lineRule="atLeas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24D72"/>
    <w:pPr>
      <w:keepNext/>
      <w:keepLines/>
      <w:spacing w:before="40" w:after="0" w:line="280" w:lineRule="atLeas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24D72"/>
    <w:pPr>
      <w:keepNext/>
      <w:keepLines/>
      <w:spacing w:before="0" w:after="0" w:line="280" w:lineRule="atLeas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24D72"/>
    <w:pPr>
      <w:keepNext/>
      <w:keepLines/>
      <w:spacing w:before="0" w:after="0" w:line="280" w:lineRule="atLeas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commendation">
    <w:name w:val="Recommendation"/>
    <w:basedOn w:val="NoList"/>
    <w:uiPriority w:val="99"/>
    <w:rsid w:val="00816D7A"/>
    <w:pPr>
      <w:numPr>
        <w:numId w:val="1"/>
      </w:numPr>
    </w:pPr>
  </w:style>
  <w:style w:type="character" w:customStyle="1" w:styleId="Heading1Char">
    <w:name w:val="Heading 1 Char"/>
    <w:basedOn w:val="DefaultParagraphFont"/>
    <w:link w:val="Heading1"/>
    <w:uiPriority w:val="9"/>
    <w:rsid w:val="00037C05"/>
    <w:rPr>
      <w:rFonts w:ascii="Arial" w:eastAsiaTheme="majorEastAsia" w:hAnsi="Arial" w:cstheme="majorBidi"/>
      <w:bCs/>
      <w:color w:val="77206D" w:themeColor="accent5" w:themeShade="BF"/>
      <w:spacing w:val="-40"/>
      <w:sz w:val="48"/>
      <w:szCs w:val="54"/>
      <w:lang w:val="en-GB"/>
    </w:rPr>
  </w:style>
  <w:style w:type="character" w:customStyle="1" w:styleId="Heading2Char">
    <w:name w:val="Heading 2 Char"/>
    <w:basedOn w:val="DefaultParagraphFont"/>
    <w:link w:val="Heading2"/>
    <w:uiPriority w:val="9"/>
    <w:rsid w:val="00037C05"/>
    <w:rPr>
      <w:rFonts w:ascii="Arial" w:eastAsiaTheme="majorEastAsia" w:hAnsi="Arial" w:cstheme="majorBidi"/>
      <w:bCs/>
      <w:color w:val="77206D" w:themeColor="accent5" w:themeShade="BF"/>
      <w:sz w:val="36"/>
      <w:szCs w:val="26"/>
    </w:rPr>
  </w:style>
  <w:style w:type="character" w:customStyle="1" w:styleId="Heading3Char">
    <w:name w:val="Heading 3 Char"/>
    <w:basedOn w:val="DefaultParagraphFont"/>
    <w:link w:val="Heading3"/>
    <w:uiPriority w:val="9"/>
    <w:rsid w:val="00923421"/>
    <w:rPr>
      <w:rFonts w:ascii="Arial" w:eastAsiaTheme="majorEastAsia" w:hAnsi="Arial" w:cs="Arial (Headings CS)"/>
      <w:bCs/>
      <w:color w:val="156082" w:themeColor="accent1"/>
      <w:sz w:val="28"/>
      <w:lang w:val="en-GB"/>
    </w:rPr>
  </w:style>
  <w:style w:type="character" w:customStyle="1" w:styleId="Heading4Char">
    <w:name w:val="Heading 4 Char"/>
    <w:basedOn w:val="DefaultParagraphFont"/>
    <w:link w:val="Heading4"/>
    <w:uiPriority w:val="9"/>
    <w:rsid w:val="00B92604"/>
    <w:rPr>
      <w:rFonts w:asciiTheme="majorHAnsi" w:eastAsiaTheme="majorEastAsia" w:hAnsiTheme="majorHAnsi" w:cstheme="majorBidi"/>
      <w:i/>
      <w:iCs/>
      <w:color w:val="77206D" w:themeColor="accent5" w:themeShade="BF"/>
    </w:rPr>
  </w:style>
  <w:style w:type="paragraph" w:styleId="Caption">
    <w:name w:val="caption"/>
    <w:basedOn w:val="Normal"/>
    <w:next w:val="Normal"/>
    <w:link w:val="CaptionChar"/>
    <w:unhideWhenUsed/>
    <w:qFormat/>
    <w:rsid w:val="009A02A0"/>
    <w:pPr>
      <w:spacing w:line="280" w:lineRule="atLeast"/>
    </w:pPr>
    <w:rPr>
      <w:rFonts w:asciiTheme="minorHAnsi" w:eastAsiaTheme="minorHAnsi" w:hAnsiTheme="minorHAnsi" w:cstheme="minorBidi"/>
      <w:b/>
      <w:iCs/>
      <w:color w:val="000000" w:themeColor="text1"/>
      <w:kern w:val="2"/>
      <w:sz w:val="20"/>
      <w:szCs w:val="18"/>
      <w14:ligatures w14:val="standardContextual"/>
    </w:rPr>
  </w:style>
  <w:style w:type="character" w:customStyle="1" w:styleId="CaptionChar">
    <w:name w:val="Caption Char"/>
    <w:basedOn w:val="Heading1Char"/>
    <w:link w:val="Caption"/>
    <w:rsid w:val="009A02A0"/>
    <w:rPr>
      <w:rFonts w:ascii="Arial" w:eastAsiaTheme="majorEastAsia" w:hAnsi="Arial" w:cstheme="majorBidi"/>
      <w:b w:val="0"/>
      <w:bCs w:val="0"/>
      <w:iCs/>
      <w:color w:val="000000" w:themeColor="text1"/>
      <w:spacing w:val="-40"/>
      <w:sz w:val="20"/>
      <w:szCs w:val="18"/>
      <w:lang w:val="en-GB"/>
    </w:rPr>
  </w:style>
  <w:style w:type="character" w:customStyle="1" w:styleId="Heading5Char">
    <w:name w:val="Heading 5 Char"/>
    <w:basedOn w:val="DefaultParagraphFont"/>
    <w:link w:val="Heading5"/>
    <w:uiPriority w:val="9"/>
    <w:rsid w:val="00B92604"/>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824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D72"/>
    <w:rPr>
      <w:rFonts w:eastAsiaTheme="majorEastAsia" w:cstheme="majorBidi"/>
      <w:color w:val="272727" w:themeColor="text1" w:themeTint="D8"/>
    </w:rPr>
  </w:style>
  <w:style w:type="paragraph" w:styleId="Title">
    <w:name w:val="Title"/>
    <w:basedOn w:val="Normal"/>
    <w:next w:val="Normal"/>
    <w:link w:val="TitleChar"/>
    <w:uiPriority w:val="10"/>
    <w:qFormat/>
    <w:rsid w:val="00824D72"/>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D72"/>
    <w:pPr>
      <w:numPr>
        <w:ilvl w:val="1"/>
      </w:numPr>
      <w:spacing w:before="0" w:after="160" w:line="280" w:lineRule="atLeas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4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D72"/>
    <w:pPr>
      <w:spacing w:before="160" w:after="160" w:line="280" w:lineRule="atLeast"/>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24D72"/>
    <w:rPr>
      <w:i/>
      <w:iCs/>
      <w:color w:val="404040" w:themeColor="text1" w:themeTint="BF"/>
    </w:rPr>
  </w:style>
  <w:style w:type="paragraph" w:styleId="ListParagraph">
    <w:name w:val="List Paragraph"/>
    <w:basedOn w:val="Normal"/>
    <w:uiPriority w:val="34"/>
    <w:qFormat/>
    <w:rsid w:val="00824D72"/>
    <w:pPr>
      <w:spacing w:before="0" w:line="280" w:lineRule="atLeast"/>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24D72"/>
    <w:rPr>
      <w:i/>
      <w:iCs/>
      <w:color w:val="0F4761" w:themeColor="accent1" w:themeShade="BF"/>
    </w:rPr>
  </w:style>
  <w:style w:type="paragraph" w:styleId="IntenseQuote">
    <w:name w:val="Intense Quote"/>
    <w:basedOn w:val="Normal"/>
    <w:next w:val="Normal"/>
    <w:link w:val="IntenseQuoteChar"/>
    <w:uiPriority w:val="30"/>
    <w:qFormat/>
    <w:rsid w:val="00824D72"/>
    <w:pPr>
      <w:pBdr>
        <w:top w:val="single" w:sz="4" w:space="10" w:color="0F4761" w:themeColor="accent1" w:themeShade="BF"/>
        <w:bottom w:val="single" w:sz="4" w:space="10" w:color="0F4761" w:themeColor="accent1" w:themeShade="BF"/>
      </w:pBdr>
      <w:spacing w:before="360" w:after="360" w:line="280" w:lineRule="atLeast"/>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24D72"/>
    <w:rPr>
      <w:i/>
      <w:iCs/>
      <w:color w:val="0F4761" w:themeColor="accent1" w:themeShade="BF"/>
    </w:rPr>
  </w:style>
  <w:style w:type="character" w:styleId="IntenseReference">
    <w:name w:val="Intense Reference"/>
    <w:basedOn w:val="DefaultParagraphFont"/>
    <w:uiPriority w:val="32"/>
    <w:qFormat/>
    <w:rsid w:val="00824D72"/>
    <w:rPr>
      <w:b/>
      <w:bCs/>
      <w:smallCaps/>
      <w:color w:val="0F4761" w:themeColor="accent1" w:themeShade="BF"/>
      <w:spacing w:val="5"/>
    </w:rPr>
  </w:style>
  <w:style w:type="table" w:customStyle="1" w:styleId="TableGrid1">
    <w:name w:val="Table Grid1"/>
    <w:basedOn w:val="TableNormal"/>
    <w:next w:val="TableGrid"/>
    <w:uiPriority w:val="39"/>
    <w:rsid w:val="00824D72"/>
    <w:pPr>
      <w:spacing w:before="0" w:after="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D72"/>
    <w:pPr>
      <w:autoSpaceDE w:val="0"/>
      <w:autoSpaceDN w:val="0"/>
      <w:adjustRightInd w:val="0"/>
      <w:spacing w:before="0" w:after="0"/>
    </w:pPr>
    <w:rPr>
      <w:rFonts w:ascii="Calibri" w:hAnsi="Calibri" w:cs="Calibri"/>
      <w:color w:val="000000"/>
      <w:kern w:val="0"/>
      <w:lang w:val="en-GB"/>
      <w14:ligatures w14:val="none"/>
    </w:rPr>
  </w:style>
  <w:style w:type="table" w:styleId="TableGrid">
    <w:name w:val="Table Grid"/>
    <w:basedOn w:val="TableNormal"/>
    <w:uiPriority w:val="39"/>
    <w:rsid w:val="00824D7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77B"/>
    <w:rPr>
      <w:color w:val="467886" w:themeColor="hyperlink"/>
      <w:u w:val="single"/>
    </w:rPr>
  </w:style>
  <w:style w:type="character" w:styleId="UnresolvedMention">
    <w:name w:val="Unresolved Mention"/>
    <w:basedOn w:val="DefaultParagraphFont"/>
    <w:uiPriority w:val="99"/>
    <w:semiHidden/>
    <w:unhideWhenUsed/>
    <w:rsid w:val="00AD077B"/>
    <w:rPr>
      <w:color w:val="605E5C"/>
      <w:shd w:val="clear" w:color="auto" w:fill="E1DFDD"/>
    </w:rPr>
  </w:style>
  <w:style w:type="paragraph" w:styleId="Header">
    <w:name w:val="header"/>
    <w:basedOn w:val="Normal"/>
    <w:link w:val="HeaderChar"/>
    <w:uiPriority w:val="99"/>
    <w:unhideWhenUsed/>
    <w:rsid w:val="00BB48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48B4"/>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BB48B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48B4"/>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aterquality.gov.au/anz-guidelines/guideline-values/default/water-quality-toxicants/local-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B8DD-B53A-4B25-8D45-7DC199C9E1C4}">
  <ds:schemaRefs>
    <ds:schemaRef ds:uri="http://schemas.microsoft.com/sharepoint/v3/contenttype/forms"/>
  </ds:schemaRefs>
</ds:datastoreItem>
</file>

<file path=customXml/itemProps2.xml><?xml version="1.0" encoding="utf-8"?>
<ds:datastoreItem xmlns:ds="http://schemas.openxmlformats.org/officeDocument/2006/customXml" ds:itemID="{B3BCAA4E-3B3F-4A73-9291-4D32F045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3923E-4930-C640-928F-2F4D372836C0}">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10621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Draft proposed responses to public submissions on draft default guideline values</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proposed responses to public submissions on draft default guideline values</dc:title>
  <dc:subject>Toxicant: PFOS in freshwater</dc:subject>
  <dc:creator>Rick van Dam</dc:creator>
  <cp:keywords/>
  <dc:description/>
  <cp:lastModifiedBy>Bec DURACK</cp:lastModifiedBy>
  <cp:revision>2</cp:revision>
  <cp:lastPrinted>2024-07-01T01:31:00Z</cp:lastPrinted>
  <dcterms:created xsi:type="dcterms:W3CDTF">2024-08-26T01:45:00Z</dcterms:created>
  <dcterms:modified xsi:type="dcterms:W3CDTF">2024-08-26T01:45:00Z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5d127ba9,1e11117b,6a10f817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7a57a62,2a07f831,7bf5f32c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