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03D28" w14:textId="59B0F494" w:rsidR="00764D6A" w:rsidRDefault="007F7F92" w:rsidP="00A4349F">
      <w:pPr>
        <w:pStyle w:val="Heading1"/>
        <w:spacing w:before="1300"/>
      </w:pPr>
      <w:r>
        <w:rPr>
          <w:noProof/>
        </w:rPr>
        <w:drawing>
          <wp:anchor distT="0" distB="0" distL="114300" distR="114300" simplePos="0" relativeHeight="251658240" behindDoc="1" locked="0" layoutInCell="1" allowOverlap="1" wp14:anchorId="6473196C" wp14:editId="0100899D">
            <wp:simplePos x="0" y="0"/>
            <wp:positionH relativeFrom="page">
              <wp:align>left</wp:align>
            </wp:positionH>
            <wp:positionV relativeFrom="paragraph">
              <wp:posOffset>-877852</wp:posOffset>
            </wp:positionV>
            <wp:extent cx="7576997" cy="10713600"/>
            <wp:effectExtent l="0" t="0" r="5080" b="0"/>
            <wp:wrapNone/>
            <wp:docPr id="2159678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7834"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76997" cy="10713600"/>
                    </a:xfrm>
                    <a:prstGeom prst="rect">
                      <a:avLst/>
                    </a:prstGeom>
                  </pic:spPr>
                </pic:pic>
              </a:graphicData>
            </a:graphic>
            <wp14:sizeRelH relativeFrom="margin">
              <wp14:pctWidth>0</wp14:pctWidth>
            </wp14:sizeRelH>
            <wp14:sizeRelV relativeFrom="margin">
              <wp14:pctHeight>0</wp14:pctHeight>
            </wp14:sizeRelV>
          </wp:anchor>
        </w:drawing>
      </w:r>
      <w:r w:rsidR="37C3AD52" w:rsidRPr="08ECB972">
        <w:rPr>
          <w:sz w:val="64"/>
          <w:szCs w:val="64"/>
        </w:rPr>
        <w:t>Independent Review of Key Issues Arising from Public Comments on the PFOS Freshwater Draft Guideline Values</w:t>
      </w:r>
      <w:r w:rsidR="37C3AD52">
        <w:t xml:space="preserve"> </w:t>
      </w:r>
    </w:p>
    <w:p w14:paraId="08215FEB" w14:textId="5F501A34" w:rsidR="00764D6A" w:rsidRDefault="12158AB1">
      <w:pPr>
        <w:pStyle w:val="Author"/>
        <w:rPr>
          <w:lang w:val="es-ES"/>
        </w:rPr>
      </w:pPr>
      <w:r w:rsidRPr="4301F19E">
        <w:rPr>
          <w:lang w:val="es-ES"/>
        </w:rPr>
        <w:t>P. Dawson, C. Le</w:t>
      </w:r>
      <w:r w:rsidR="009848C2">
        <w:rPr>
          <w:lang w:val="es-ES"/>
        </w:rPr>
        <w:t>e</w:t>
      </w:r>
      <w:r w:rsidRPr="4301F19E">
        <w:rPr>
          <w:lang w:val="es-ES"/>
        </w:rPr>
        <w:t xml:space="preserve">-Steere, R. </w:t>
      </w:r>
      <w:r w:rsidR="000440CA">
        <w:rPr>
          <w:lang w:val="es-ES"/>
        </w:rPr>
        <w:t xml:space="preserve">M. </w:t>
      </w:r>
      <w:r w:rsidRPr="4301F19E">
        <w:rPr>
          <w:lang w:val="es-ES"/>
        </w:rPr>
        <w:t>Mann</w:t>
      </w:r>
      <w:r w:rsidR="4E5B1255" w:rsidRPr="4301F19E">
        <w:rPr>
          <w:lang w:val="es-ES"/>
        </w:rPr>
        <w:t>,</w:t>
      </w:r>
      <w:r w:rsidRPr="4301F19E">
        <w:rPr>
          <w:lang w:val="es-ES"/>
        </w:rPr>
        <w:t xml:space="preserve"> J. Stauber</w:t>
      </w:r>
      <w:r w:rsidR="54CBB59A" w:rsidRPr="4301F19E">
        <w:rPr>
          <w:lang w:val="es-ES"/>
        </w:rPr>
        <w:t xml:space="preserve"> and</w:t>
      </w:r>
      <w:r w:rsidR="4BF2EDD8" w:rsidRPr="4301F19E">
        <w:rPr>
          <w:lang w:val="es-ES"/>
        </w:rPr>
        <w:t xml:space="preserve"> S. Vardy</w:t>
      </w:r>
    </w:p>
    <w:p w14:paraId="0F03102F" w14:textId="33E2689A" w:rsidR="247D02C7" w:rsidRPr="00C144F5" w:rsidRDefault="247D02C7" w:rsidP="00C144F5">
      <w:pPr>
        <w:tabs>
          <w:tab w:val="left" w:pos="1215"/>
        </w:tabs>
        <w:rPr>
          <w:lang w:val="es-ES"/>
        </w:rPr>
      </w:pPr>
      <w:r w:rsidRPr="08ECB972">
        <w:rPr>
          <w:b/>
          <w:bCs/>
          <w:lang w:val="es-ES"/>
        </w:rPr>
        <w:t xml:space="preserve">Report </w:t>
      </w:r>
      <w:r w:rsidR="00F90058">
        <w:rPr>
          <w:b/>
          <w:bCs/>
          <w:lang w:val="es-ES"/>
        </w:rPr>
        <w:t xml:space="preserve">of the Independent Technical Commitee </w:t>
      </w:r>
      <w:r w:rsidRPr="08ECB972">
        <w:rPr>
          <w:b/>
          <w:bCs/>
          <w:lang w:val="es-ES"/>
        </w:rPr>
        <w:t>prepared for DCCEEW</w:t>
      </w:r>
    </w:p>
    <w:p w14:paraId="7E12763A" w14:textId="77777777" w:rsidR="00764D6A" w:rsidRPr="005D3790" w:rsidRDefault="00764D6A" w:rsidP="005D3790"/>
    <w:p w14:paraId="254E7EF1" w14:textId="77777777" w:rsidR="00764D6A" w:rsidRDefault="00E91D72">
      <w:pPr>
        <w:pStyle w:val="Normalsmall"/>
      </w:pPr>
      <w:r>
        <w:br w:type="page"/>
      </w:r>
      <w:r>
        <w:lastRenderedPageBreak/>
        <w:t xml:space="preserve">© Commonwealth of Australia </w:t>
      </w:r>
      <w:r w:rsidR="00B97E61">
        <w:t>202</w:t>
      </w:r>
      <w:r w:rsidR="00A32152">
        <w:t>4</w:t>
      </w:r>
    </w:p>
    <w:p w14:paraId="4F689E5E" w14:textId="77777777" w:rsidR="00764D6A" w:rsidRDefault="00E91D72">
      <w:pPr>
        <w:pStyle w:val="Normalsmall"/>
        <w:rPr>
          <w:rStyle w:val="Strong"/>
        </w:rPr>
      </w:pPr>
      <w:r>
        <w:rPr>
          <w:rStyle w:val="Strong"/>
        </w:rPr>
        <w:t>Ownership of intellectual property rights</w:t>
      </w:r>
    </w:p>
    <w:p w14:paraId="7B906C8A"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EA0D5A7" w14:textId="77777777" w:rsidR="00764D6A" w:rsidRDefault="00E91D72">
      <w:pPr>
        <w:pStyle w:val="Normalsmall"/>
        <w:rPr>
          <w:rStyle w:val="Strong"/>
        </w:rPr>
      </w:pPr>
      <w:r>
        <w:rPr>
          <w:rStyle w:val="Strong"/>
        </w:rPr>
        <w:t>Creative Commons licence</w:t>
      </w:r>
    </w:p>
    <w:p w14:paraId="2B315AAF"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1F70BE86" w14:textId="77777777" w:rsidR="00764D6A" w:rsidRPr="00364A4A" w:rsidRDefault="00E91D72">
      <w:pPr>
        <w:pStyle w:val="Normalsmall"/>
      </w:pPr>
      <w:r>
        <w:t xml:space="preserve">Inquiries about the licence and any use of this document should be </w:t>
      </w:r>
      <w:r w:rsidRPr="00364A4A">
        <w:t xml:space="preserve">emailed to </w:t>
      </w:r>
      <w:hyperlink r:id="rId13" w:history="1">
        <w:r w:rsidR="00D86640">
          <w:rPr>
            <w:rStyle w:val="Hyperlink"/>
          </w:rPr>
          <w:t>copyright@dcceew.gov.au</w:t>
        </w:r>
      </w:hyperlink>
      <w:r w:rsidRPr="00364A4A">
        <w:t>.</w:t>
      </w:r>
    </w:p>
    <w:p w14:paraId="4349D114" w14:textId="77777777" w:rsidR="00764D6A" w:rsidRPr="00364A4A" w:rsidRDefault="00E91D72">
      <w:pPr>
        <w:pStyle w:val="Normalsmall"/>
      </w:pPr>
      <w:r w:rsidRPr="00364A4A">
        <w:rPr>
          <w:noProof/>
          <w:lang w:eastAsia="en-AU"/>
        </w:rPr>
        <w:drawing>
          <wp:inline distT="0" distB="0" distL="0" distR="0" wp14:anchorId="458E7080" wp14:editId="047EC5AE">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1E6C12A" w14:textId="77777777" w:rsidR="00764D6A" w:rsidRPr="00364A4A" w:rsidRDefault="00E91D72">
      <w:pPr>
        <w:pStyle w:val="Normalsmall"/>
        <w:rPr>
          <w:rStyle w:val="Strong"/>
        </w:rPr>
      </w:pPr>
      <w:r w:rsidRPr="00364A4A">
        <w:rPr>
          <w:rStyle w:val="Strong"/>
        </w:rPr>
        <w:t>Cataloguing data</w:t>
      </w:r>
    </w:p>
    <w:p w14:paraId="0610856B" w14:textId="72D1C3AC" w:rsidR="00DE0AAE" w:rsidRDefault="00E91D72" w:rsidP="39A2C69A">
      <w:pPr>
        <w:pStyle w:val="Heading1"/>
        <w:spacing w:before="0"/>
        <w:rPr>
          <w:b w:val="0"/>
          <w:bCs w:val="0"/>
          <w:color w:val="auto"/>
          <w:sz w:val="18"/>
          <w:szCs w:val="18"/>
        </w:rPr>
      </w:pPr>
      <w:r w:rsidRPr="2C4E3B28">
        <w:rPr>
          <w:b w:val="0"/>
          <w:bCs w:val="0"/>
          <w:sz w:val="18"/>
          <w:szCs w:val="18"/>
        </w:rPr>
        <w:t>T</w:t>
      </w:r>
      <w:r w:rsidRPr="2C4E3B28">
        <w:rPr>
          <w:b w:val="0"/>
          <w:bCs w:val="0"/>
          <w:color w:val="auto"/>
          <w:sz w:val="18"/>
          <w:szCs w:val="18"/>
        </w:rPr>
        <w:t xml:space="preserve">his publication (and any material sourced from it) should be </w:t>
      </w:r>
      <w:r w:rsidR="01849403" w:rsidRPr="2C4E3B28">
        <w:rPr>
          <w:b w:val="0"/>
          <w:bCs w:val="0"/>
          <w:color w:val="auto"/>
          <w:sz w:val="18"/>
          <w:szCs w:val="18"/>
        </w:rPr>
        <w:t>cited as:</w:t>
      </w:r>
      <w:r w:rsidR="0066042D">
        <w:rPr>
          <w:b w:val="0"/>
          <w:bCs w:val="0"/>
          <w:color w:val="auto"/>
          <w:sz w:val="18"/>
          <w:szCs w:val="18"/>
        </w:rPr>
        <w:t xml:space="preserve"> </w:t>
      </w:r>
      <w:r w:rsidR="170DF014" w:rsidRPr="2C4E3B28">
        <w:rPr>
          <w:b w:val="0"/>
          <w:bCs w:val="0"/>
          <w:color w:val="auto"/>
          <w:sz w:val="18"/>
          <w:szCs w:val="18"/>
          <w:lang w:val="es-ES"/>
        </w:rPr>
        <w:t xml:space="preserve">P. Dawson, C. Le-Steere, R. </w:t>
      </w:r>
      <w:r w:rsidR="00DF1DD1" w:rsidRPr="2C4E3B28">
        <w:rPr>
          <w:b w:val="0"/>
          <w:bCs w:val="0"/>
          <w:color w:val="auto"/>
          <w:sz w:val="18"/>
          <w:szCs w:val="18"/>
          <w:lang w:val="es-ES"/>
        </w:rPr>
        <w:t xml:space="preserve">M. </w:t>
      </w:r>
      <w:r w:rsidR="170DF014" w:rsidRPr="2C4E3B28">
        <w:rPr>
          <w:b w:val="0"/>
          <w:bCs w:val="0"/>
          <w:color w:val="auto"/>
          <w:sz w:val="18"/>
          <w:szCs w:val="18"/>
          <w:lang w:val="es-ES"/>
        </w:rPr>
        <w:t>Mann, J. Stauber and</w:t>
      </w:r>
      <w:r w:rsidR="3CC233A6" w:rsidRPr="2C4E3B28">
        <w:rPr>
          <w:b w:val="0"/>
          <w:bCs w:val="0"/>
          <w:color w:val="auto"/>
          <w:sz w:val="18"/>
          <w:szCs w:val="18"/>
          <w:lang w:val="es-ES"/>
        </w:rPr>
        <w:t xml:space="preserve"> </w:t>
      </w:r>
      <w:r w:rsidR="46034794" w:rsidRPr="2C4E3B28">
        <w:rPr>
          <w:b w:val="0"/>
          <w:bCs w:val="0"/>
          <w:color w:val="auto"/>
          <w:sz w:val="18"/>
          <w:szCs w:val="18"/>
          <w:lang w:val="es-ES"/>
        </w:rPr>
        <w:t>S.</w:t>
      </w:r>
      <w:r w:rsidR="170DF014" w:rsidRPr="2C4E3B28">
        <w:rPr>
          <w:b w:val="0"/>
          <w:bCs w:val="0"/>
          <w:color w:val="auto"/>
          <w:sz w:val="18"/>
          <w:szCs w:val="18"/>
          <w:lang w:val="es-ES"/>
        </w:rPr>
        <w:t xml:space="preserve"> Vardy (2024)</w:t>
      </w:r>
      <w:r w:rsidR="00C944BA">
        <w:rPr>
          <w:b w:val="0"/>
          <w:bCs w:val="0"/>
          <w:color w:val="auto"/>
          <w:sz w:val="18"/>
          <w:szCs w:val="18"/>
          <w:lang w:val="es-ES"/>
        </w:rPr>
        <w:t xml:space="preserve">. </w:t>
      </w:r>
      <w:r w:rsidR="7AEFBA4B" w:rsidRPr="00C944BA">
        <w:rPr>
          <w:b w:val="0"/>
          <w:bCs w:val="0"/>
          <w:color w:val="auto"/>
          <w:sz w:val="18"/>
          <w:szCs w:val="18"/>
        </w:rPr>
        <w:t>I</w:t>
      </w:r>
      <w:r w:rsidR="170DF014" w:rsidRPr="2C4E3B28">
        <w:rPr>
          <w:b w:val="0"/>
          <w:bCs w:val="0"/>
          <w:color w:val="auto"/>
          <w:sz w:val="18"/>
          <w:szCs w:val="18"/>
        </w:rPr>
        <w:t>ndependent Review of Key Issues Arising from Public Comments on the PFOS Freshwater Draft Guideline Values</w:t>
      </w:r>
      <w:r w:rsidR="392D5D48" w:rsidRPr="2C4E3B28">
        <w:rPr>
          <w:b w:val="0"/>
          <w:bCs w:val="0"/>
          <w:color w:val="auto"/>
          <w:sz w:val="18"/>
          <w:szCs w:val="18"/>
        </w:rPr>
        <w:t>.</w:t>
      </w:r>
      <w:r w:rsidR="00C944BA">
        <w:rPr>
          <w:b w:val="0"/>
          <w:bCs w:val="0"/>
          <w:color w:val="auto"/>
          <w:sz w:val="18"/>
          <w:szCs w:val="18"/>
        </w:rPr>
        <w:t xml:space="preserve"> </w:t>
      </w:r>
      <w:r w:rsidR="392D5D48" w:rsidRPr="2C4E3B28">
        <w:rPr>
          <w:b w:val="0"/>
          <w:bCs w:val="0"/>
          <w:color w:val="auto"/>
          <w:sz w:val="18"/>
          <w:szCs w:val="18"/>
        </w:rPr>
        <w:t>Report for DECCEEW, pp.</w:t>
      </w:r>
    </w:p>
    <w:p w14:paraId="7927CB6C" w14:textId="5886726D" w:rsidR="00DE0AAE" w:rsidRDefault="00DE0AAE" w:rsidP="4301F19E">
      <w:pPr>
        <w:widowControl w:val="0"/>
        <w:spacing w:after="0" w:line="240" w:lineRule="auto"/>
        <w:rPr>
          <w:lang w:val="es-ES"/>
        </w:rPr>
      </w:pPr>
    </w:p>
    <w:p w14:paraId="5D089BBD" w14:textId="0FB90FC5" w:rsidR="00DE0AAE" w:rsidRDefault="00DE0AAE">
      <w:pPr>
        <w:pStyle w:val="Normalsmall"/>
        <w:spacing w:after="0"/>
      </w:pPr>
    </w:p>
    <w:p w14:paraId="2E4B7DB6" w14:textId="77777777" w:rsidR="00764D6A" w:rsidRPr="00364A4A" w:rsidRDefault="00E91D72">
      <w:pPr>
        <w:pStyle w:val="Normalsmall"/>
        <w:spacing w:after="0"/>
      </w:pPr>
      <w:r>
        <w:t xml:space="preserve">GPO Box </w:t>
      </w:r>
      <w:r w:rsidR="008E2377">
        <w:t>3090</w:t>
      </w:r>
      <w:r>
        <w:t xml:space="preserve"> Canberra ACT 2601</w:t>
      </w:r>
    </w:p>
    <w:p w14:paraId="21227B65" w14:textId="77777777" w:rsidR="00764D6A" w:rsidRPr="00364A4A" w:rsidRDefault="00E91D72">
      <w:pPr>
        <w:pStyle w:val="Normalsmall"/>
        <w:spacing w:after="0"/>
      </w:pPr>
      <w:r w:rsidRPr="00364A4A">
        <w:t xml:space="preserve">Telephone </w:t>
      </w:r>
      <w:r w:rsidR="00D464F4" w:rsidRPr="00D464F4">
        <w:t>1800 920 528</w:t>
      </w:r>
    </w:p>
    <w:p w14:paraId="42E4A815" w14:textId="77777777" w:rsidR="00764D6A" w:rsidRPr="00364A4A" w:rsidRDefault="00E91D72">
      <w:pPr>
        <w:pStyle w:val="Normalsmall"/>
      </w:pPr>
      <w:bookmarkStart w:id="0" w:name="_Hlk108621036"/>
      <w:r w:rsidRPr="00364A4A">
        <w:t xml:space="preserve">Web </w:t>
      </w:r>
      <w:hyperlink r:id="rId15" w:history="1">
        <w:r w:rsidR="00D86640">
          <w:rPr>
            <w:rStyle w:val="Hyperlink"/>
          </w:rPr>
          <w:t>dcceew.gov.au</w:t>
        </w:r>
      </w:hyperlink>
    </w:p>
    <w:bookmarkEnd w:id="0"/>
    <w:p w14:paraId="59111807" w14:textId="77777777" w:rsidR="007C358A" w:rsidRDefault="007C358A">
      <w:pPr>
        <w:pStyle w:val="Normalsmall"/>
      </w:pPr>
      <w:r w:rsidRPr="00364A4A">
        <w:rPr>
          <w:rStyle w:val="Strong"/>
        </w:rPr>
        <w:t>Disclaimer</w:t>
      </w:r>
    </w:p>
    <w:p w14:paraId="7FD39BAE" w14:textId="77777777" w:rsidR="00764D6A" w:rsidRDefault="00E91D72">
      <w:pPr>
        <w:pStyle w:val="Normalsmall"/>
      </w:pPr>
      <w:r>
        <w:t xml:space="preserve">The Australian Government acting through the </w:t>
      </w:r>
      <w:r w:rsidR="00D86640">
        <w:t>Department of Climate Change, Energy, the Environment and Water</w:t>
      </w:r>
      <w:r>
        <w:t xml:space="preserve"> has exercised due care and skill in preparing and compiling the information and data in this publication. Notwithstanding, the </w:t>
      </w:r>
      <w:r w:rsidR="00D86640">
        <w:t>Department of Climate Change, Energy, the Environment and Water</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551C5C08" w14:textId="77777777" w:rsidR="00B02B9B" w:rsidRDefault="00B02B9B" w:rsidP="00B02B9B">
      <w:pPr>
        <w:pStyle w:val="Normalsmall"/>
      </w:pPr>
      <w:r>
        <w:rPr>
          <w:rStyle w:val="Strong"/>
        </w:rPr>
        <w:t>Acknowledgement of Country</w:t>
      </w:r>
    </w:p>
    <w:p w14:paraId="3C037514" w14:textId="77777777" w:rsidR="00FC0B39" w:rsidRDefault="00B8745D" w:rsidP="00F448C4">
      <w:pPr>
        <w:pStyle w:val="Normalsmall"/>
      </w:pPr>
      <w:r>
        <w:t>We acknowledge the Traditional Owners of Country throughout Australia and recognise their continuing connection to land, waters and culture. We pay our respects to their Elders past and present</w:t>
      </w:r>
      <w:r w:rsidR="00FC0B39">
        <w:t>.</w:t>
      </w:r>
    </w:p>
    <w:p w14:paraId="6BAF4665" w14:textId="77777777" w:rsidR="00A32152" w:rsidRDefault="00A32152" w:rsidP="00CB2439">
      <w:pPr>
        <w:pStyle w:val="Heading2"/>
        <w:ind w:left="720" w:hanging="720"/>
      </w:pPr>
      <w:bookmarkStart w:id="1" w:name="_Toc430782148"/>
      <w:r>
        <w:br w:type="page"/>
      </w:r>
      <w:bookmarkEnd w:id="1"/>
    </w:p>
    <w:p w14:paraId="57EC82C0" w14:textId="79282E68" w:rsidR="00764D6A" w:rsidRDefault="00764D6A">
      <w:pPr>
        <w:spacing w:after="0" w:line="240" w:lineRule="auto"/>
      </w:pPr>
    </w:p>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bCs/>
        </w:rPr>
      </w:sdtEndPr>
      <w:sdtContent>
        <w:p w14:paraId="2760E2BB" w14:textId="5422EF73" w:rsidR="00764D6A" w:rsidRDefault="00E91D72">
          <w:pPr>
            <w:pStyle w:val="TOCHeading"/>
          </w:pPr>
          <w:r>
            <w:t xml:space="preserve">Contents </w:t>
          </w:r>
        </w:p>
        <w:p w14:paraId="414C491B" w14:textId="39452044" w:rsidR="007341EA"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66677210" w:history="1">
            <w:r w:rsidR="007341EA" w:rsidRPr="00FF54F2">
              <w:rPr>
                <w:rStyle w:val="Hyperlink"/>
              </w:rPr>
              <w:t>1. Introduction</w:t>
            </w:r>
            <w:r w:rsidR="007341EA">
              <w:rPr>
                <w:webHidden/>
              </w:rPr>
              <w:tab/>
            </w:r>
            <w:r w:rsidR="007341EA">
              <w:rPr>
                <w:webHidden/>
              </w:rPr>
              <w:fldChar w:fldCharType="begin"/>
            </w:r>
            <w:r w:rsidR="007341EA">
              <w:rPr>
                <w:webHidden/>
              </w:rPr>
              <w:instrText xml:space="preserve"> PAGEREF _Toc166677210 \h </w:instrText>
            </w:r>
            <w:r w:rsidR="007341EA">
              <w:rPr>
                <w:webHidden/>
              </w:rPr>
            </w:r>
            <w:r w:rsidR="007341EA">
              <w:rPr>
                <w:webHidden/>
              </w:rPr>
              <w:fldChar w:fldCharType="separate"/>
            </w:r>
            <w:r w:rsidR="003A2D84">
              <w:rPr>
                <w:webHidden/>
              </w:rPr>
              <w:t>1</w:t>
            </w:r>
            <w:r w:rsidR="007341EA">
              <w:rPr>
                <w:webHidden/>
              </w:rPr>
              <w:fldChar w:fldCharType="end"/>
            </w:r>
          </w:hyperlink>
        </w:p>
        <w:p w14:paraId="269D5AC4" w14:textId="5634C01E" w:rsidR="007341EA" w:rsidRDefault="00686266">
          <w:pPr>
            <w:pStyle w:val="TOC2"/>
            <w:tabs>
              <w:tab w:val="left" w:pos="1100"/>
            </w:tabs>
            <w:rPr>
              <w:rFonts w:eastAsiaTheme="minorEastAsia"/>
              <w:kern w:val="2"/>
              <w:lang w:eastAsia="en-AU"/>
              <w14:ligatures w14:val="standardContextual"/>
            </w:rPr>
          </w:pPr>
          <w:hyperlink w:anchor="_Toc166677211" w:history="1">
            <w:r w:rsidR="007341EA" w:rsidRPr="00FF54F2">
              <w:rPr>
                <w:rStyle w:val="Hyperlink"/>
              </w:rPr>
              <w:t>1.1</w:t>
            </w:r>
            <w:r w:rsidR="007341EA">
              <w:rPr>
                <w:rFonts w:eastAsiaTheme="minorEastAsia"/>
                <w:kern w:val="2"/>
                <w:lang w:eastAsia="en-AU"/>
                <w14:ligatures w14:val="standardContextual"/>
              </w:rPr>
              <w:tab/>
            </w:r>
            <w:r w:rsidR="007341EA" w:rsidRPr="00FF54F2">
              <w:rPr>
                <w:rStyle w:val="Hyperlink"/>
              </w:rPr>
              <w:t>Background</w:t>
            </w:r>
            <w:r w:rsidR="007341EA">
              <w:rPr>
                <w:webHidden/>
              </w:rPr>
              <w:tab/>
            </w:r>
            <w:r w:rsidR="007341EA">
              <w:rPr>
                <w:webHidden/>
              </w:rPr>
              <w:fldChar w:fldCharType="begin"/>
            </w:r>
            <w:r w:rsidR="007341EA">
              <w:rPr>
                <w:webHidden/>
              </w:rPr>
              <w:instrText xml:space="preserve"> PAGEREF _Toc166677211 \h </w:instrText>
            </w:r>
            <w:r w:rsidR="007341EA">
              <w:rPr>
                <w:webHidden/>
              </w:rPr>
            </w:r>
            <w:r w:rsidR="007341EA">
              <w:rPr>
                <w:webHidden/>
              </w:rPr>
              <w:fldChar w:fldCharType="separate"/>
            </w:r>
            <w:r w:rsidR="003A2D84">
              <w:rPr>
                <w:webHidden/>
              </w:rPr>
              <w:t>1</w:t>
            </w:r>
            <w:r w:rsidR="007341EA">
              <w:rPr>
                <w:webHidden/>
              </w:rPr>
              <w:fldChar w:fldCharType="end"/>
            </w:r>
          </w:hyperlink>
        </w:p>
        <w:p w14:paraId="7DAFCF64" w14:textId="66AAC592" w:rsidR="007341EA" w:rsidRDefault="00686266">
          <w:pPr>
            <w:pStyle w:val="TOC2"/>
            <w:tabs>
              <w:tab w:val="left" w:pos="1100"/>
            </w:tabs>
            <w:rPr>
              <w:rFonts w:eastAsiaTheme="minorEastAsia"/>
              <w:kern w:val="2"/>
              <w:lang w:eastAsia="en-AU"/>
              <w14:ligatures w14:val="standardContextual"/>
            </w:rPr>
          </w:pPr>
          <w:hyperlink w:anchor="_Toc166677212" w:history="1">
            <w:r w:rsidR="007341EA" w:rsidRPr="00FF54F2">
              <w:rPr>
                <w:rStyle w:val="Hyperlink"/>
              </w:rPr>
              <w:t>1.2</w:t>
            </w:r>
            <w:r w:rsidR="007341EA">
              <w:rPr>
                <w:rFonts w:eastAsiaTheme="minorEastAsia"/>
                <w:kern w:val="2"/>
                <w:lang w:eastAsia="en-AU"/>
                <w14:ligatures w14:val="standardContextual"/>
              </w:rPr>
              <w:tab/>
            </w:r>
            <w:r w:rsidR="007341EA" w:rsidRPr="00FF54F2">
              <w:rPr>
                <w:rStyle w:val="Hyperlink"/>
              </w:rPr>
              <w:t>Default Guideline Value Derivation</w:t>
            </w:r>
            <w:r w:rsidR="007341EA">
              <w:rPr>
                <w:webHidden/>
              </w:rPr>
              <w:tab/>
            </w:r>
            <w:r w:rsidR="007341EA">
              <w:rPr>
                <w:webHidden/>
              </w:rPr>
              <w:fldChar w:fldCharType="begin"/>
            </w:r>
            <w:r w:rsidR="007341EA">
              <w:rPr>
                <w:webHidden/>
              </w:rPr>
              <w:instrText xml:space="preserve"> PAGEREF _Toc166677212 \h </w:instrText>
            </w:r>
            <w:r w:rsidR="007341EA">
              <w:rPr>
                <w:webHidden/>
              </w:rPr>
            </w:r>
            <w:r w:rsidR="007341EA">
              <w:rPr>
                <w:webHidden/>
              </w:rPr>
              <w:fldChar w:fldCharType="separate"/>
            </w:r>
            <w:r w:rsidR="003A2D84">
              <w:rPr>
                <w:webHidden/>
              </w:rPr>
              <w:t>1</w:t>
            </w:r>
            <w:r w:rsidR="007341EA">
              <w:rPr>
                <w:webHidden/>
              </w:rPr>
              <w:fldChar w:fldCharType="end"/>
            </w:r>
          </w:hyperlink>
        </w:p>
        <w:p w14:paraId="5CB42663" w14:textId="496682FA" w:rsidR="007341EA" w:rsidRDefault="00686266">
          <w:pPr>
            <w:pStyle w:val="TOC2"/>
            <w:tabs>
              <w:tab w:val="left" w:pos="1100"/>
            </w:tabs>
            <w:rPr>
              <w:rFonts w:eastAsiaTheme="minorEastAsia"/>
              <w:kern w:val="2"/>
              <w:lang w:eastAsia="en-AU"/>
              <w14:ligatures w14:val="standardContextual"/>
            </w:rPr>
          </w:pPr>
          <w:hyperlink w:anchor="_Toc166677213" w:history="1">
            <w:r w:rsidR="007341EA" w:rsidRPr="00FF54F2">
              <w:rPr>
                <w:rStyle w:val="Hyperlink"/>
              </w:rPr>
              <w:t>1.3</w:t>
            </w:r>
            <w:r w:rsidR="007341EA">
              <w:rPr>
                <w:rFonts w:eastAsiaTheme="minorEastAsia"/>
                <w:kern w:val="2"/>
                <w:lang w:eastAsia="en-AU"/>
                <w14:ligatures w14:val="standardContextual"/>
              </w:rPr>
              <w:tab/>
            </w:r>
            <w:r w:rsidR="007341EA" w:rsidRPr="00FF54F2">
              <w:rPr>
                <w:rStyle w:val="Hyperlink"/>
              </w:rPr>
              <w:t>Process for Addressing Public Comments</w:t>
            </w:r>
            <w:r w:rsidR="007341EA">
              <w:rPr>
                <w:webHidden/>
              </w:rPr>
              <w:tab/>
            </w:r>
            <w:r w:rsidR="007341EA">
              <w:rPr>
                <w:webHidden/>
              </w:rPr>
              <w:fldChar w:fldCharType="begin"/>
            </w:r>
            <w:r w:rsidR="007341EA">
              <w:rPr>
                <w:webHidden/>
              </w:rPr>
              <w:instrText xml:space="preserve"> PAGEREF _Toc166677213 \h </w:instrText>
            </w:r>
            <w:r w:rsidR="007341EA">
              <w:rPr>
                <w:webHidden/>
              </w:rPr>
            </w:r>
            <w:r w:rsidR="007341EA">
              <w:rPr>
                <w:webHidden/>
              </w:rPr>
              <w:fldChar w:fldCharType="separate"/>
            </w:r>
            <w:r w:rsidR="003A2D84">
              <w:rPr>
                <w:webHidden/>
              </w:rPr>
              <w:t>2</w:t>
            </w:r>
            <w:r w:rsidR="007341EA">
              <w:rPr>
                <w:webHidden/>
              </w:rPr>
              <w:fldChar w:fldCharType="end"/>
            </w:r>
          </w:hyperlink>
        </w:p>
        <w:p w14:paraId="063195EF" w14:textId="4480A783" w:rsidR="007341EA" w:rsidRDefault="00686266">
          <w:pPr>
            <w:pStyle w:val="TOC2"/>
            <w:tabs>
              <w:tab w:val="left" w:pos="1100"/>
            </w:tabs>
            <w:rPr>
              <w:rFonts w:eastAsiaTheme="minorEastAsia"/>
              <w:kern w:val="2"/>
              <w:lang w:eastAsia="en-AU"/>
              <w14:ligatures w14:val="standardContextual"/>
            </w:rPr>
          </w:pPr>
          <w:hyperlink w:anchor="_Toc166677214" w:history="1">
            <w:r w:rsidR="007341EA" w:rsidRPr="00FF54F2">
              <w:rPr>
                <w:rStyle w:val="Hyperlink"/>
              </w:rPr>
              <w:t>1.4</w:t>
            </w:r>
            <w:r w:rsidR="007341EA">
              <w:rPr>
                <w:rFonts w:eastAsiaTheme="minorEastAsia"/>
                <w:kern w:val="2"/>
                <w:lang w:eastAsia="en-AU"/>
                <w14:ligatures w14:val="standardContextual"/>
              </w:rPr>
              <w:tab/>
            </w:r>
            <w:r w:rsidR="007341EA" w:rsidRPr="00FF54F2">
              <w:rPr>
                <w:rStyle w:val="Hyperlink"/>
              </w:rPr>
              <w:t>Approach to the Review</w:t>
            </w:r>
            <w:r w:rsidR="007341EA">
              <w:rPr>
                <w:webHidden/>
              </w:rPr>
              <w:tab/>
            </w:r>
            <w:r w:rsidR="007341EA">
              <w:rPr>
                <w:webHidden/>
              </w:rPr>
              <w:fldChar w:fldCharType="begin"/>
            </w:r>
            <w:r w:rsidR="007341EA">
              <w:rPr>
                <w:webHidden/>
              </w:rPr>
              <w:instrText xml:space="preserve"> PAGEREF _Toc166677214 \h </w:instrText>
            </w:r>
            <w:r w:rsidR="007341EA">
              <w:rPr>
                <w:webHidden/>
              </w:rPr>
            </w:r>
            <w:r w:rsidR="007341EA">
              <w:rPr>
                <w:webHidden/>
              </w:rPr>
              <w:fldChar w:fldCharType="separate"/>
            </w:r>
            <w:r w:rsidR="003A2D84">
              <w:rPr>
                <w:webHidden/>
              </w:rPr>
              <w:t>3</w:t>
            </w:r>
            <w:r w:rsidR="007341EA">
              <w:rPr>
                <w:webHidden/>
              </w:rPr>
              <w:fldChar w:fldCharType="end"/>
            </w:r>
          </w:hyperlink>
        </w:p>
        <w:p w14:paraId="3751AFDE" w14:textId="24382A1F" w:rsidR="007341EA" w:rsidRDefault="00686266">
          <w:pPr>
            <w:pStyle w:val="TOC1"/>
            <w:rPr>
              <w:rFonts w:eastAsiaTheme="minorEastAsia"/>
              <w:b w:val="0"/>
              <w:kern w:val="2"/>
              <w:lang w:eastAsia="en-AU"/>
              <w14:ligatures w14:val="standardContextual"/>
            </w:rPr>
          </w:pPr>
          <w:hyperlink w:anchor="_Toc166677215" w:history="1">
            <w:r w:rsidR="007341EA" w:rsidRPr="00FF54F2">
              <w:rPr>
                <w:rStyle w:val="Hyperlink"/>
              </w:rPr>
              <w:t>2. Specific concerns expressed in the public submissions</w:t>
            </w:r>
            <w:r w:rsidR="007341EA">
              <w:rPr>
                <w:webHidden/>
              </w:rPr>
              <w:tab/>
            </w:r>
            <w:r w:rsidR="007341EA">
              <w:rPr>
                <w:webHidden/>
              </w:rPr>
              <w:fldChar w:fldCharType="begin"/>
            </w:r>
            <w:r w:rsidR="007341EA">
              <w:rPr>
                <w:webHidden/>
              </w:rPr>
              <w:instrText xml:space="preserve"> PAGEREF _Toc166677215 \h </w:instrText>
            </w:r>
            <w:r w:rsidR="007341EA">
              <w:rPr>
                <w:webHidden/>
              </w:rPr>
            </w:r>
            <w:r w:rsidR="007341EA">
              <w:rPr>
                <w:webHidden/>
              </w:rPr>
              <w:fldChar w:fldCharType="separate"/>
            </w:r>
            <w:r w:rsidR="003A2D84">
              <w:rPr>
                <w:webHidden/>
              </w:rPr>
              <w:t>4</w:t>
            </w:r>
            <w:r w:rsidR="007341EA">
              <w:rPr>
                <w:webHidden/>
              </w:rPr>
              <w:fldChar w:fldCharType="end"/>
            </w:r>
          </w:hyperlink>
        </w:p>
        <w:p w14:paraId="53D49A69" w14:textId="40BDD50A" w:rsidR="007341EA" w:rsidRDefault="00686266">
          <w:pPr>
            <w:pStyle w:val="TOC2"/>
            <w:tabs>
              <w:tab w:val="left" w:pos="1100"/>
            </w:tabs>
            <w:rPr>
              <w:rFonts w:eastAsiaTheme="minorEastAsia"/>
              <w:kern w:val="2"/>
              <w:lang w:eastAsia="en-AU"/>
              <w14:ligatures w14:val="standardContextual"/>
            </w:rPr>
          </w:pPr>
          <w:hyperlink w:anchor="_Toc166677216" w:history="1">
            <w:r w:rsidR="007341EA" w:rsidRPr="00FF54F2">
              <w:rPr>
                <w:rStyle w:val="Hyperlink"/>
              </w:rPr>
              <w:t>2.1</w:t>
            </w:r>
            <w:r w:rsidR="007341EA">
              <w:rPr>
                <w:rFonts w:eastAsiaTheme="minorEastAsia"/>
                <w:kern w:val="2"/>
                <w:lang w:eastAsia="en-AU"/>
                <w14:ligatures w14:val="standardContextual"/>
              </w:rPr>
              <w:tab/>
            </w:r>
            <w:r w:rsidR="007341EA" w:rsidRPr="00FF54F2">
              <w:rPr>
                <w:rStyle w:val="Hyperlink"/>
              </w:rPr>
              <w:t>Concerns Over the Use of Keiter et al. (2012)</w:t>
            </w:r>
            <w:r w:rsidR="007341EA">
              <w:rPr>
                <w:webHidden/>
              </w:rPr>
              <w:tab/>
            </w:r>
            <w:r w:rsidR="007341EA">
              <w:rPr>
                <w:webHidden/>
              </w:rPr>
              <w:fldChar w:fldCharType="begin"/>
            </w:r>
            <w:r w:rsidR="007341EA">
              <w:rPr>
                <w:webHidden/>
              </w:rPr>
              <w:instrText xml:space="preserve"> PAGEREF _Toc166677216 \h </w:instrText>
            </w:r>
            <w:r w:rsidR="007341EA">
              <w:rPr>
                <w:webHidden/>
              </w:rPr>
            </w:r>
            <w:r w:rsidR="007341EA">
              <w:rPr>
                <w:webHidden/>
              </w:rPr>
              <w:fldChar w:fldCharType="separate"/>
            </w:r>
            <w:r w:rsidR="003A2D84">
              <w:rPr>
                <w:webHidden/>
              </w:rPr>
              <w:t>4</w:t>
            </w:r>
            <w:r w:rsidR="007341EA">
              <w:rPr>
                <w:webHidden/>
              </w:rPr>
              <w:fldChar w:fldCharType="end"/>
            </w:r>
          </w:hyperlink>
        </w:p>
        <w:p w14:paraId="1E3481EB" w14:textId="765A0B51" w:rsidR="007341EA" w:rsidRDefault="00686266">
          <w:pPr>
            <w:pStyle w:val="TOC2"/>
            <w:tabs>
              <w:tab w:val="left" w:pos="1100"/>
            </w:tabs>
            <w:rPr>
              <w:rFonts w:eastAsiaTheme="minorEastAsia"/>
              <w:kern w:val="2"/>
              <w:lang w:eastAsia="en-AU"/>
              <w14:ligatures w14:val="standardContextual"/>
            </w:rPr>
          </w:pPr>
          <w:hyperlink w:anchor="_Toc166677217" w:history="1">
            <w:r w:rsidR="007341EA" w:rsidRPr="00FF54F2">
              <w:rPr>
                <w:rStyle w:val="Hyperlink"/>
              </w:rPr>
              <w:t>2.2</w:t>
            </w:r>
            <w:r w:rsidR="007341EA">
              <w:rPr>
                <w:rFonts w:eastAsiaTheme="minorEastAsia"/>
                <w:kern w:val="2"/>
                <w:lang w:eastAsia="en-AU"/>
                <w14:ligatures w14:val="standardContextual"/>
              </w:rPr>
              <w:tab/>
            </w:r>
            <w:r w:rsidR="007341EA" w:rsidRPr="00FF54F2">
              <w:rPr>
                <w:rStyle w:val="Hyperlink"/>
              </w:rPr>
              <w:t>Concerns over the use of the large number of data selection decisions that deviated from the Warne et al. (2018) DGV derivation method</w:t>
            </w:r>
            <w:r w:rsidR="007341EA">
              <w:rPr>
                <w:webHidden/>
              </w:rPr>
              <w:tab/>
            </w:r>
            <w:r w:rsidR="007341EA">
              <w:rPr>
                <w:webHidden/>
              </w:rPr>
              <w:fldChar w:fldCharType="begin"/>
            </w:r>
            <w:r w:rsidR="007341EA">
              <w:rPr>
                <w:webHidden/>
              </w:rPr>
              <w:instrText xml:space="preserve"> PAGEREF _Toc166677217 \h </w:instrText>
            </w:r>
            <w:r w:rsidR="007341EA">
              <w:rPr>
                <w:webHidden/>
              </w:rPr>
            </w:r>
            <w:r w:rsidR="007341EA">
              <w:rPr>
                <w:webHidden/>
              </w:rPr>
              <w:fldChar w:fldCharType="separate"/>
            </w:r>
            <w:r w:rsidR="003A2D84">
              <w:rPr>
                <w:webHidden/>
              </w:rPr>
              <w:t>7</w:t>
            </w:r>
            <w:r w:rsidR="007341EA">
              <w:rPr>
                <w:webHidden/>
              </w:rPr>
              <w:fldChar w:fldCharType="end"/>
            </w:r>
          </w:hyperlink>
        </w:p>
        <w:p w14:paraId="5F68CAB1" w14:textId="48A69F1E" w:rsidR="007341EA" w:rsidRDefault="00686266">
          <w:pPr>
            <w:pStyle w:val="TOC2"/>
            <w:tabs>
              <w:tab w:val="left" w:pos="1100"/>
            </w:tabs>
            <w:rPr>
              <w:rFonts w:eastAsiaTheme="minorEastAsia"/>
              <w:kern w:val="2"/>
              <w:lang w:eastAsia="en-AU"/>
              <w14:ligatures w14:val="standardContextual"/>
            </w:rPr>
          </w:pPr>
          <w:hyperlink w:anchor="_Toc166677218" w:history="1">
            <w:r w:rsidR="007341EA" w:rsidRPr="00FF54F2">
              <w:rPr>
                <w:rStyle w:val="Hyperlink"/>
              </w:rPr>
              <w:t>2.3</w:t>
            </w:r>
            <w:r w:rsidR="007341EA">
              <w:rPr>
                <w:rFonts w:eastAsiaTheme="minorEastAsia"/>
                <w:kern w:val="2"/>
                <w:lang w:eastAsia="en-AU"/>
                <w14:ligatures w14:val="standardContextual"/>
              </w:rPr>
              <w:tab/>
            </w:r>
            <w:r w:rsidR="007341EA" w:rsidRPr="00FF54F2">
              <w:rPr>
                <w:rStyle w:val="Hyperlink"/>
                <w:rFonts w:eastAsia="Calibri"/>
                <w:lang w:val="en-US"/>
              </w:rPr>
              <w:t>Policy around Bioaccumulation</w:t>
            </w:r>
            <w:r w:rsidR="007341EA">
              <w:rPr>
                <w:webHidden/>
              </w:rPr>
              <w:tab/>
            </w:r>
            <w:r w:rsidR="007341EA">
              <w:rPr>
                <w:webHidden/>
              </w:rPr>
              <w:fldChar w:fldCharType="begin"/>
            </w:r>
            <w:r w:rsidR="007341EA">
              <w:rPr>
                <w:webHidden/>
              </w:rPr>
              <w:instrText xml:space="preserve"> PAGEREF _Toc166677218 \h </w:instrText>
            </w:r>
            <w:r w:rsidR="007341EA">
              <w:rPr>
                <w:webHidden/>
              </w:rPr>
            </w:r>
            <w:r w:rsidR="007341EA">
              <w:rPr>
                <w:webHidden/>
              </w:rPr>
              <w:fldChar w:fldCharType="separate"/>
            </w:r>
            <w:r w:rsidR="003A2D84">
              <w:rPr>
                <w:webHidden/>
              </w:rPr>
              <w:t>15</w:t>
            </w:r>
            <w:r w:rsidR="007341EA">
              <w:rPr>
                <w:webHidden/>
              </w:rPr>
              <w:fldChar w:fldCharType="end"/>
            </w:r>
          </w:hyperlink>
        </w:p>
        <w:p w14:paraId="5234DC97" w14:textId="31E73CE7" w:rsidR="007341EA" w:rsidRDefault="00686266">
          <w:pPr>
            <w:pStyle w:val="TOC1"/>
            <w:rPr>
              <w:rFonts w:eastAsiaTheme="minorEastAsia"/>
              <w:b w:val="0"/>
              <w:kern w:val="2"/>
              <w:lang w:eastAsia="en-AU"/>
              <w14:ligatures w14:val="standardContextual"/>
            </w:rPr>
          </w:pPr>
          <w:hyperlink w:anchor="_Toc166677219" w:history="1">
            <w:r w:rsidR="007341EA" w:rsidRPr="00FF54F2">
              <w:rPr>
                <w:rStyle w:val="Hyperlink"/>
              </w:rPr>
              <w:t>3. Conclusions</w:t>
            </w:r>
            <w:r w:rsidR="007341EA">
              <w:rPr>
                <w:webHidden/>
              </w:rPr>
              <w:tab/>
            </w:r>
            <w:r w:rsidR="007341EA">
              <w:rPr>
                <w:webHidden/>
              </w:rPr>
              <w:fldChar w:fldCharType="begin"/>
            </w:r>
            <w:r w:rsidR="007341EA">
              <w:rPr>
                <w:webHidden/>
              </w:rPr>
              <w:instrText xml:space="preserve"> PAGEREF _Toc166677219 \h </w:instrText>
            </w:r>
            <w:r w:rsidR="007341EA">
              <w:rPr>
                <w:webHidden/>
              </w:rPr>
            </w:r>
            <w:r w:rsidR="007341EA">
              <w:rPr>
                <w:webHidden/>
              </w:rPr>
              <w:fldChar w:fldCharType="separate"/>
            </w:r>
            <w:r w:rsidR="003A2D84">
              <w:rPr>
                <w:webHidden/>
              </w:rPr>
              <w:t>16</w:t>
            </w:r>
            <w:r w:rsidR="007341EA">
              <w:rPr>
                <w:webHidden/>
              </w:rPr>
              <w:fldChar w:fldCharType="end"/>
            </w:r>
          </w:hyperlink>
        </w:p>
        <w:p w14:paraId="50FF6319" w14:textId="30903F4A" w:rsidR="007341EA" w:rsidRDefault="00686266">
          <w:pPr>
            <w:pStyle w:val="TOC1"/>
            <w:rPr>
              <w:rFonts w:eastAsiaTheme="minorEastAsia"/>
              <w:b w:val="0"/>
              <w:kern w:val="2"/>
              <w:lang w:eastAsia="en-AU"/>
              <w14:ligatures w14:val="standardContextual"/>
            </w:rPr>
          </w:pPr>
          <w:hyperlink w:anchor="_Toc166677220" w:history="1">
            <w:r w:rsidR="007341EA" w:rsidRPr="00FF54F2">
              <w:rPr>
                <w:rStyle w:val="Hyperlink"/>
                <w:lang w:val="en-US"/>
              </w:rPr>
              <w:t>4. References</w:t>
            </w:r>
            <w:r w:rsidR="007341EA">
              <w:rPr>
                <w:webHidden/>
              </w:rPr>
              <w:tab/>
            </w:r>
            <w:r w:rsidR="007341EA">
              <w:rPr>
                <w:webHidden/>
              </w:rPr>
              <w:fldChar w:fldCharType="begin"/>
            </w:r>
            <w:r w:rsidR="007341EA">
              <w:rPr>
                <w:webHidden/>
              </w:rPr>
              <w:instrText xml:space="preserve"> PAGEREF _Toc166677220 \h </w:instrText>
            </w:r>
            <w:r w:rsidR="007341EA">
              <w:rPr>
                <w:webHidden/>
              </w:rPr>
            </w:r>
            <w:r w:rsidR="007341EA">
              <w:rPr>
                <w:webHidden/>
              </w:rPr>
              <w:fldChar w:fldCharType="separate"/>
            </w:r>
            <w:r w:rsidR="003A2D84">
              <w:rPr>
                <w:webHidden/>
              </w:rPr>
              <w:t>16</w:t>
            </w:r>
            <w:r w:rsidR="007341EA">
              <w:rPr>
                <w:webHidden/>
              </w:rPr>
              <w:fldChar w:fldCharType="end"/>
            </w:r>
          </w:hyperlink>
        </w:p>
        <w:p w14:paraId="642E4E86" w14:textId="7089928A" w:rsidR="00764D6A" w:rsidRDefault="00E91D72">
          <w:r>
            <w:rPr>
              <w:b/>
              <w:noProof/>
            </w:rPr>
            <w:fldChar w:fldCharType="end"/>
          </w:r>
        </w:p>
      </w:sdtContent>
    </w:sdt>
    <w:p w14:paraId="5F875DFE" w14:textId="6FFC73DA" w:rsidR="00764D6A" w:rsidRPr="00A924C1" w:rsidRDefault="00E91D72">
      <w:pPr>
        <w:pStyle w:val="TOCHeading2"/>
        <w:rPr>
          <w:rFonts w:ascii="Calibri" w:eastAsiaTheme="minorEastAsia" w:hAnsi="Calibri"/>
          <w:bCs/>
          <w:color w:val="197C7D"/>
          <w:sz w:val="56"/>
          <w:szCs w:val="28"/>
          <w:lang w:eastAsia="ja-JP"/>
        </w:rPr>
      </w:pPr>
      <w:r w:rsidRPr="00A924C1">
        <w:rPr>
          <w:rFonts w:ascii="Calibri" w:eastAsiaTheme="minorEastAsia" w:hAnsi="Calibri"/>
          <w:bCs/>
          <w:color w:val="197C7D"/>
          <w:sz w:val="56"/>
          <w:szCs w:val="28"/>
          <w:lang w:eastAsia="ja-JP"/>
        </w:rPr>
        <w:t>Tables</w:t>
      </w:r>
    </w:p>
    <w:p w14:paraId="4E45086F" w14:textId="2E4D319B" w:rsidR="00A924C1" w:rsidRDefault="0035658B" w:rsidP="00A924C1">
      <w:pPr>
        <w:rPr>
          <w:b/>
          <w:bCs/>
        </w:rPr>
      </w:pPr>
      <w:r w:rsidRPr="001A6259">
        <w:rPr>
          <w:b/>
          <w:bCs/>
        </w:rPr>
        <w:t>Table 1</w:t>
      </w:r>
      <w:r>
        <w:t xml:space="preserve"> </w:t>
      </w:r>
      <w:r w:rsidR="00C440B2">
        <w:t>……………………………………………………………………………………………………………………………………………</w:t>
      </w:r>
      <w:r w:rsidR="00C440B2" w:rsidRPr="00C440B2">
        <w:rPr>
          <w:b/>
          <w:bCs/>
        </w:rPr>
        <w:t>09</w:t>
      </w:r>
    </w:p>
    <w:p w14:paraId="38A663B6" w14:textId="6736CA02" w:rsidR="00C440B2" w:rsidRDefault="00C440B2" w:rsidP="00A924C1">
      <w:pPr>
        <w:rPr>
          <w:b/>
          <w:bCs/>
        </w:rPr>
      </w:pPr>
      <w:r>
        <w:rPr>
          <w:b/>
          <w:bCs/>
        </w:rPr>
        <w:t>Table 2</w:t>
      </w:r>
      <w:r w:rsidR="00ED7588">
        <w:rPr>
          <w:b/>
          <w:bCs/>
        </w:rPr>
        <w:t xml:space="preserve"> ……………………………………………………………………………………………………………………………………….15</w:t>
      </w:r>
    </w:p>
    <w:p w14:paraId="4146901C" w14:textId="16BD7512" w:rsidR="001A6259" w:rsidRPr="00A924C1" w:rsidRDefault="001A6259" w:rsidP="00A924C1">
      <w:r>
        <w:rPr>
          <w:b/>
          <w:bCs/>
        </w:rPr>
        <w:t>Table 3 ……………………………………………………………………………………………………………………………………….16</w:t>
      </w:r>
    </w:p>
    <w:p w14:paraId="1534BF95" w14:textId="374F548D" w:rsidR="007D5423" w:rsidRDefault="006A6787" w:rsidP="4301F19E">
      <w:pPr>
        <w:ind w:left="720" w:hanging="720"/>
      </w:pPr>
      <w:r>
        <w:fldChar w:fldCharType="begin"/>
      </w:r>
      <w:r>
        <w:instrText xml:space="preserve"> TOC \h \z \c "Table" </w:instrText>
      </w:r>
      <w:r w:rsidR="00686266">
        <w:fldChar w:fldCharType="separate"/>
      </w:r>
      <w:r>
        <w:fldChar w:fldCharType="end"/>
      </w:r>
    </w:p>
    <w:p w14:paraId="0762B484" w14:textId="461684D6" w:rsidR="007D5423" w:rsidRDefault="007D5423" w:rsidP="4301F19E">
      <w:pPr>
        <w:ind w:left="720" w:hanging="720"/>
        <w:sectPr w:rsidR="007D5423" w:rsidSect="0069149E">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567" w:footer="283" w:gutter="0"/>
          <w:pgNumType w:fmt="lowerRoman" w:start="1"/>
          <w:cols w:space="708"/>
          <w:titlePg/>
          <w:docGrid w:linePitch="360"/>
        </w:sectPr>
      </w:pPr>
    </w:p>
    <w:p w14:paraId="70B3D23D" w14:textId="30C8CF12" w:rsidR="00764D6A" w:rsidRDefault="00C05884" w:rsidP="001B1D60">
      <w:pPr>
        <w:pStyle w:val="Heading2"/>
        <w:rPr>
          <w:b/>
        </w:rPr>
      </w:pPr>
      <w:bookmarkStart w:id="2" w:name="_Toc430782150"/>
      <w:bookmarkStart w:id="3" w:name="_Toc166677210"/>
      <w:r>
        <w:lastRenderedPageBreak/>
        <w:t xml:space="preserve">1. </w:t>
      </w:r>
      <w:r w:rsidR="00E91D72" w:rsidRPr="4301F19E">
        <w:t>Introduction</w:t>
      </w:r>
      <w:bookmarkEnd w:id="2"/>
      <w:bookmarkEnd w:id="3"/>
    </w:p>
    <w:p w14:paraId="3D956765" w14:textId="2A2DD460" w:rsidR="008E2272" w:rsidRPr="008E2272" w:rsidRDefault="2969A382" w:rsidP="0026781C">
      <w:pPr>
        <w:pStyle w:val="Heading3"/>
      </w:pPr>
      <w:bookmarkStart w:id="4" w:name="_Toc166677211"/>
      <w:r>
        <w:t>Background</w:t>
      </w:r>
      <w:bookmarkEnd w:id="4"/>
    </w:p>
    <w:p w14:paraId="492DEE93" w14:textId="182AE1D7" w:rsidR="2969A382" w:rsidRDefault="2969A382" w:rsidP="00001130">
      <w:pPr>
        <w:spacing w:before="240"/>
      </w:pPr>
      <w:r>
        <w:t xml:space="preserve">The draft Australian and New Zealand Guidelines for Fresh and Marine Water Quality (ANZ Guidelines) toxicant default guideline values </w:t>
      </w:r>
      <w:r w:rsidR="007D4B4F">
        <w:t xml:space="preserve">(DGVs) </w:t>
      </w:r>
      <w:r>
        <w:t>for aquatic ecosystem protection technical brief for Perfluorooctane sulfonate (PFOS) in freshwater (f)</w:t>
      </w:r>
      <w:r w:rsidR="090F7B89">
        <w:t xml:space="preserve"> (ANZG 2023)</w:t>
      </w:r>
      <w:r>
        <w:t xml:space="preserve"> was made available for public submissions in May 2023. The public comment period was open until 17 August 2023. Six public submissions were received</w:t>
      </w:r>
      <w:r w:rsidR="082DED19">
        <w:t>.</w:t>
      </w:r>
    </w:p>
    <w:p w14:paraId="5A80EAFF" w14:textId="3D5B40B7" w:rsidR="2969A382" w:rsidRDefault="2969A382" w:rsidP="7713419B">
      <w:pPr>
        <w:pStyle w:val="Heading3"/>
      </w:pPr>
      <w:bookmarkStart w:id="5" w:name="_Toc166677212"/>
      <w:r>
        <w:t xml:space="preserve">Default </w:t>
      </w:r>
      <w:r w:rsidR="58EE10D4">
        <w:t>G</w:t>
      </w:r>
      <w:r>
        <w:t xml:space="preserve">uideline </w:t>
      </w:r>
      <w:r w:rsidR="05F6D413">
        <w:t>V</w:t>
      </w:r>
      <w:r>
        <w:t xml:space="preserve">alue </w:t>
      </w:r>
      <w:r w:rsidR="2EE79E3E">
        <w:t>D</w:t>
      </w:r>
      <w:r>
        <w:t>erivation</w:t>
      </w:r>
      <w:bookmarkEnd w:id="5"/>
    </w:p>
    <w:p w14:paraId="1A5D56AB" w14:textId="03032686" w:rsidR="2969A382" w:rsidRDefault="2969A382" w:rsidP="00001130">
      <w:pPr>
        <w:spacing w:before="240"/>
      </w:pPr>
      <w:r>
        <w:t xml:space="preserve">The toxicity of PFOS to freshwater species ranges over five orders of magnitude, with fish and invertebrates generally more sensitive than plants and algae. Based on the toxicity data considered in the development of the </w:t>
      </w:r>
      <w:r w:rsidR="00D37CCB">
        <w:t>DGVs</w:t>
      </w:r>
      <w:r>
        <w:t xml:space="preserve">, the zebrafish </w:t>
      </w:r>
      <w:r w:rsidRPr="7713419B">
        <w:rPr>
          <w:i/>
          <w:iCs/>
        </w:rPr>
        <w:t>Danio rerio</w:t>
      </w:r>
      <w:r>
        <w:t xml:space="preserve"> was the most sensitive species, with a LOEC of approximately 0.7 µg/L (F2 generation growth LOEC, 90 d and 180 d post fertilisation) (Keiter et al. 2012</w:t>
      </w:r>
      <w:r w:rsidR="71867971">
        <w:t>)</w:t>
      </w:r>
      <w:r>
        <w:t xml:space="preserve">, while the diatom </w:t>
      </w:r>
      <w:r w:rsidRPr="7713419B">
        <w:rPr>
          <w:i/>
          <w:iCs/>
        </w:rPr>
        <w:t>Navicula pelliculosa</w:t>
      </w:r>
      <w:r>
        <w:t xml:space="preserve"> was the least sensitive species, with an EC50 of 263 000 µg/L (5-d EC50) (OECD 2002).</w:t>
      </w:r>
    </w:p>
    <w:p w14:paraId="2F5F1B0A" w14:textId="28BED589" w:rsidR="6105116D" w:rsidRDefault="007D4B4F" w:rsidP="7713419B">
      <w:r>
        <w:t xml:space="preserve">The draft PFOS </w:t>
      </w:r>
      <w:r w:rsidR="009C2214">
        <w:t>(f)</w:t>
      </w:r>
      <w:r>
        <w:t xml:space="preserve"> DGVs technical brief reported</w:t>
      </w:r>
      <w:r w:rsidR="6105116D">
        <w:t xml:space="preserve"> </w:t>
      </w:r>
      <w:r>
        <w:t>“</w:t>
      </w:r>
      <w:r w:rsidR="6105116D">
        <w:t>v</w:t>
      </w:r>
      <w:r w:rsidR="2969A382">
        <w:t>ery high</w:t>
      </w:r>
      <w:r>
        <w:t>”</w:t>
      </w:r>
      <w:r w:rsidR="2969A382">
        <w:t xml:space="preserve"> reliability DGVs </w:t>
      </w:r>
      <w:r>
        <w:t>based on</w:t>
      </w:r>
      <w:r w:rsidR="2969A382">
        <w:t xml:space="preserve"> chronic EC10, NOEC, LOEC, and EC50 data for 35 species from 11 taxonomic groups</w:t>
      </w:r>
      <w:r>
        <w:t>. The DGVs reliability rating was based on the high sample size (35 toxicity values), use of only chronic toxicity data and</w:t>
      </w:r>
      <w:r w:rsidR="2969A382">
        <w:t xml:space="preserve"> a good fit of the species sensitivity distribution (SSD) to the toxicity data</w:t>
      </w:r>
      <w:r>
        <w:t>, as per the reliability classification described in Warne et al. (2018)</w:t>
      </w:r>
      <w:r w:rsidR="2969A382">
        <w:t>. The DGVs for PFOS in freshwater for 99%, 95%, 90% and 80% species protection derived were 0.0091 μg/L, 0.48 µg/L, 2.7 μg/L, and 17 μg/L, respectively. Because the DGVs do not account for the bioaccumulation of PFOS in aquatic food chains, the 99% species protection DGV for PFOS in freshwater was recommended for application to slightly-to-moderately disturbed ecosystems.</w:t>
      </w:r>
    </w:p>
    <w:p w14:paraId="04957625" w14:textId="7159B896" w:rsidR="2969A382" w:rsidRDefault="2969A382" w:rsidP="7713419B">
      <w:r>
        <w:t>The DGVs were derived in accordance with the method described in Warne et al. (2018) and using Burrlioz 2.0 software.</w:t>
      </w:r>
    </w:p>
    <w:p w14:paraId="0C071D9F" w14:textId="7371C006" w:rsidR="2969A382" w:rsidRDefault="2969A382" w:rsidP="7713419B">
      <w:pPr>
        <w:pStyle w:val="Heading4"/>
      </w:pPr>
      <w:r>
        <w:t>Toxicity data used in derivation</w:t>
      </w:r>
    </w:p>
    <w:p w14:paraId="53899C66" w14:textId="7AD34F9D" w:rsidR="2969A382" w:rsidRDefault="2969A382" w:rsidP="00001130">
      <w:pPr>
        <w:spacing w:before="240"/>
      </w:pPr>
      <w:r>
        <w:t xml:space="preserve">In accordance with Warne et al. (2018), toxicity data were considered in the DGV derivation if they: had traditional </w:t>
      </w:r>
      <w:r w:rsidR="0020684A">
        <w:t xml:space="preserve">apical </w:t>
      </w:r>
      <w:r>
        <w:t>endpoints; passed quality assessment (quality score &gt;50%); and used a test substance of &gt;80% purity.</w:t>
      </w:r>
    </w:p>
    <w:p w14:paraId="0A09590F" w14:textId="3F6C8FE2" w:rsidR="2969A382" w:rsidRDefault="2969A382" w:rsidP="7713419B">
      <w:r>
        <w:t>Where only one toxicity value was available for a species, it was included in the dataset for the DGV derivation. For species with more than one toxicity value available, data were selected in accordance with Warne et al. (2018).</w:t>
      </w:r>
    </w:p>
    <w:p w14:paraId="7DAE093C" w14:textId="4E047562" w:rsidR="2969A382" w:rsidRDefault="2969A382" w:rsidP="7713419B">
      <w:r>
        <w:t xml:space="preserve">According to Warne et al. (2018), Table 2, data from studies where the test concentrations differ by a large amount (for example ≥ 10-fold differences) should not be used, except where the data are of particular significance and a strong justification is provided. In the derivation of the draft PFOS </w:t>
      </w:r>
      <w:r w:rsidR="00AF4651">
        <w:t xml:space="preserve">(f) </w:t>
      </w:r>
      <w:r>
        <w:t xml:space="preserve">DGVs, data for eight species were from studies with at least a 10-fold increase between test </w:t>
      </w:r>
      <w:r>
        <w:lastRenderedPageBreak/>
        <w:t>concentrations. These studies were used because they provided the only available data for these species or were the lowest toxicity values for these species.</w:t>
      </w:r>
    </w:p>
    <w:p w14:paraId="20090E43" w14:textId="34AB8C83" w:rsidR="2969A382" w:rsidRDefault="2969A382" w:rsidP="7713419B">
      <w:pPr>
        <w:pStyle w:val="Heading3"/>
      </w:pPr>
      <w:bookmarkStart w:id="6" w:name="_Toc166677213"/>
      <w:r>
        <w:t>Process for Addressing Public Comments</w:t>
      </w:r>
      <w:bookmarkEnd w:id="6"/>
    </w:p>
    <w:p w14:paraId="66872304" w14:textId="6EE0149A" w:rsidR="2969A382" w:rsidRDefault="2969A382" w:rsidP="00001130">
      <w:pPr>
        <w:spacing w:before="240"/>
      </w:pPr>
      <w:r>
        <w:t>Key issues raised by the submitters during the public comment period were as follows:</w:t>
      </w:r>
    </w:p>
    <w:p w14:paraId="7888611E" w14:textId="1577F8A7" w:rsidR="2969A382" w:rsidRDefault="3731936E" w:rsidP="45FFD1F4">
      <w:pPr>
        <w:pStyle w:val="ListBullet2"/>
        <w:numPr>
          <w:ilvl w:val="1"/>
          <w:numId w:val="8"/>
        </w:numPr>
        <w:ind w:left="720"/>
      </w:pPr>
      <w:r>
        <w:t xml:space="preserve">Inclusion of the zebrafish value from the Keiter et al. (2012) study when a more recent and recently published US study (Gust et al., 2023) has reported very contrasting results </w:t>
      </w:r>
    </w:p>
    <w:p w14:paraId="7D1F38B9" w14:textId="45790EBC" w:rsidR="2969A382" w:rsidRDefault="3731936E" w:rsidP="45FFD1F4">
      <w:pPr>
        <w:pStyle w:val="ListBullet2"/>
        <w:numPr>
          <w:ilvl w:val="1"/>
          <w:numId w:val="8"/>
        </w:numPr>
        <w:ind w:left="720"/>
      </w:pPr>
      <w:r>
        <w:t xml:space="preserve">The large number of data selection decisions that deviated from the standard rules in the Warne et al. (2018) toxicant guideline value derivation method </w:t>
      </w:r>
    </w:p>
    <w:p w14:paraId="0660C073" w14:textId="3C536338" w:rsidR="2969A382" w:rsidRDefault="3731936E" w:rsidP="45FFD1F4">
      <w:pPr>
        <w:pStyle w:val="ListBullet2"/>
        <w:numPr>
          <w:ilvl w:val="1"/>
          <w:numId w:val="8"/>
        </w:numPr>
        <w:ind w:left="720"/>
      </w:pPr>
      <w:r>
        <w:t>Concerns over the guidance within the technical brief on how to deal with bioaccumulation of PFOS</w:t>
      </w:r>
    </w:p>
    <w:p w14:paraId="42B69645" w14:textId="02B3F465" w:rsidR="2969A382" w:rsidRDefault="3731936E" w:rsidP="45FFD1F4">
      <w:pPr>
        <w:pStyle w:val="ListBullet2"/>
        <w:numPr>
          <w:ilvl w:val="1"/>
          <w:numId w:val="8"/>
        </w:numPr>
        <w:ind w:left="720"/>
      </w:pPr>
      <w:r>
        <w:t>Concerns over the use of Burrlioz over a better species sensitivity distribution (SSD) fitting approach such as shinyssdtools</w:t>
      </w:r>
    </w:p>
    <w:p w14:paraId="30E17CAD" w14:textId="51577EED" w:rsidR="2969A382" w:rsidRDefault="3731936E" w:rsidP="45FFD1F4">
      <w:pPr>
        <w:pStyle w:val="ListBullet2"/>
        <w:numPr>
          <w:ilvl w:val="1"/>
          <w:numId w:val="8"/>
        </w:numPr>
        <w:ind w:left="720"/>
      </w:pPr>
      <w:r>
        <w:t>The dataset should be treated as being bimodal, with algae/plants being less sensitive.</w:t>
      </w:r>
    </w:p>
    <w:p w14:paraId="32F5EB0A" w14:textId="16DB2D8D" w:rsidR="06AC3F4E" w:rsidRDefault="06AC3F4E" w:rsidP="7713419B">
      <w:r>
        <w:t xml:space="preserve">Given the </w:t>
      </w:r>
      <w:r w:rsidR="05900BE0">
        <w:t>importance and sensitivity</w:t>
      </w:r>
      <w:r>
        <w:t xml:space="preserve"> associated with the draft PFOS (f) DGVs, </w:t>
      </w:r>
      <w:r w:rsidR="18AF7501">
        <w:t xml:space="preserve">it </w:t>
      </w:r>
      <w:r w:rsidR="18CF37B4">
        <w:t>was</w:t>
      </w:r>
      <w:r w:rsidR="18AF7501">
        <w:t xml:space="preserve"> necessary that </w:t>
      </w:r>
      <w:r>
        <w:t xml:space="preserve">the process for responding to public comments be rigorous and transparent to provide stakeholders with assurance and confidence in the process and final dataset and DGVs. Issues 1 and 2 </w:t>
      </w:r>
      <w:r w:rsidR="70FFDA1C">
        <w:t>were</w:t>
      </w:r>
      <w:r>
        <w:t xml:space="preserve"> complicated and require that data and data selection decisions be revisited</w:t>
      </w:r>
      <w:r w:rsidR="009C2214">
        <w:t>,</w:t>
      </w:r>
      <w:r>
        <w:t xml:space="preserve"> and </w:t>
      </w:r>
      <w:r w:rsidR="18BE81EB">
        <w:t xml:space="preserve">this </w:t>
      </w:r>
      <w:r>
        <w:t>require</w:t>
      </w:r>
      <w:r w:rsidR="0226BC5E">
        <w:t>d</w:t>
      </w:r>
      <w:r>
        <w:t xml:space="preserve"> significant technical expertise and knowledge to address. Issue 3 also require</w:t>
      </w:r>
      <w:r w:rsidR="5E6F57D9">
        <w:t>d</w:t>
      </w:r>
      <w:r>
        <w:t xml:space="preserve"> expert consideration. Issues 4 and 5 </w:t>
      </w:r>
      <w:r w:rsidR="7F2F2071">
        <w:t>were</w:t>
      </w:r>
      <w:r>
        <w:t xml:space="preserve"> considered more straightforward and able to be addressed internally by the ANZ</w:t>
      </w:r>
      <w:r w:rsidR="00A35C44">
        <w:t>G</w:t>
      </w:r>
      <w:r>
        <w:t xml:space="preserve"> </w:t>
      </w:r>
      <w:r w:rsidR="3E16D176">
        <w:t>T</w:t>
      </w:r>
      <w:r>
        <w:t xml:space="preserve">echnical </w:t>
      </w:r>
      <w:r w:rsidR="6C026B21">
        <w:t>M</w:t>
      </w:r>
      <w:r>
        <w:t xml:space="preserve">anager and Project Coordination Group. Consequently, it was agreed by the </w:t>
      </w:r>
      <w:r w:rsidRPr="008B76D7">
        <w:t>relevant ANZ</w:t>
      </w:r>
      <w:r w:rsidR="00A35C44" w:rsidRPr="008B76D7">
        <w:t>G</w:t>
      </w:r>
      <w:r w:rsidRPr="008B76D7">
        <w:t xml:space="preserve"> Guidelines committees that</w:t>
      </w:r>
      <w:r>
        <w:t xml:space="preserve"> issues 1, 2 and 3 should be considered by an independent review committee (IRC) comprising relevant experts that, together, meet </w:t>
      </w:r>
      <w:proofErr w:type="gramStart"/>
      <w:r>
        <w:t>all of</w:t>
      </w:r>
      <w:proofErr w:type="gramEnd"/>
      <w:r>
        <w:t xml:space="preserve"> the following criteria:</w:t>
      </w:r>
    </w:p>
    <w:p w14:paraId="2CE96EA1" w14:textId="5DE196EA" w:rsidR="06AC3F4E" w:rsidRDefault="774A06C7" w:rsidP="45FFD1F4">
      <w:pPr>
        <w:pStyle w:val="ListNumber"/>
        <w:numPr>
          <w:ilvl w:val="0"/>
          <w:numId w:val="3"/>
        </w:numPr>
      </w:pPr>
      <w:r>
        <w:t xml:space="preserve">Were not involved in the derivation of the draft PFOS DGVs </w:t>
      </w:r>
    </w:p>
    <w:p w14:paraId="2FCF9A87" w14:textId="2757978A" w:rsidR="06AC3F4E" w:rsidRDefault="06AC3F4E" w:rsidP="5BF7B62F">
      <w:pPr>
        <w:pStyle w:val="ListNumber"/>
        <w:numPr>
          <w:ilvl w:val="0"/>
          <w:numId w:val="3"/>
        </w:numPr>
      </w:pPr>
      <w:r>
        <w:t xml:space="preserve">Were not involved in the peer review of the draft PFOS DGVs </w:t>
      </w:r>
    </w:p>
    <w:p w14:paraId="2B03D6BA" w14:textId="42004934" w:rsidR="06AC3F4E" w:rsidRDefault="06AC3F4E" w:rsidP="5BF7B62F">
      <w:pPr>
        <w:pStyle w:val="ListNumber"/>
        <w:numPr>
          <w:ilvl w:val="0"/>
          <w:numId w:val="3"/>
        </w:numPr>
      </w:pPr>
      <w:r>
        <w:t xml:space="preserve">Were not involved in a public response to the draft PFOS DGVs </w:t>
      </w:r>
    </w:p>
    <w:p w14:paraId="719F5623" w14:textId="7893C805" w:rsidR="06AC3F4E" w:rsidRDefault="06AC3F4E" w:rsidP="5BF7B62F">
      <w:pPr>
        <w:pStyle w:val="ListNumber"/>
        <w:numPr>
          <w:ilvl w:val="0"/>
          <w:numId w:val="3"/>
        </w:numPr>
      </w:pPr>
      <w:r>
        <w:t xml:space="preserve">Have sound knowledge of PFAS fate/toxicity </w:t>
      </w:r>
    </w:p>
    <w:p w14:paraId="3560BAE9" w14:textId="77A66151" w:rsidR="06AC3F4E" w:rsidRDefault="06AC3F4E" w:rsidP="5BF7B62F">
      <w:pPr>
        <w:pStyle w:val="ListNumber"/>
        <w:numPr>
          <w:ilvl w:val="0"/>
          <w:numId w:val="3"/>
        </w:numPr>
      </w:pPr>
      <w:r>
        <w:t>Have sound knowledge of the DGV derivation method.</w:t>
      </w:r>
    </w:p>
    <w:p w14:paraId="2D1985E7" w14:textId="77A3970F" w:rsidR="06AC3F4E" w:rsidRDefault="6E256A24" w:rsidP="5BF7B62F">
      <w:pPr>
        <w:spacing w:after="160" w:line="257" w:lineRule="auto"/>
        <w:rPr>
          <w:rFonts w:ascii="Calibri" w:eastAsia="Calibri" w:hAnsi="Calibri" w:cs="Calibri"/>
          <w:lang w:val="en-US"/>
        </w:rPr>
      </w:pPr>
      <w:r w:rsidRPr="5BF7B62F">
        <w:rPr>
          <w:rFonts w:ascii="Calibri" w:eastAsia="Calibri" w:hAnsi="Calibri" w:cs="Calibri"/>
          <w:lang w:val="en-US"/>
        </w:rPr>
        <w:t>The composition of the IRC was</w:t>
      </w:r>
      <w:r w:rsidR="3C655487" w:rsidRPr="5BF7B62F">
        <w:rPr>
          <w:rFonts w:ascii="Calibri" w:eastAsia="Calibri" w:hAnsi="Calibri" w:cs="Calibri"/>
          <w:lang w:val="en-US"/>
        </w:rPr>
        <w:t>:</w:t>
      </w:r>
    </w:p>
    <w:p w14:paraId="10B02286" w14:textId="4E0EC464" w:rsidR="74BE7467" w:rsidRPr="00A964F3" w:rsidRDefault="74BE7467" w:rsidP="00A964F3">
      <w:pPr>
        <w:pStyle w:val="ListNumber"/>
        <w:numPr>
          <w:ilvl w:val="1"/>
          <w:numId w:val="13"/>
        </w:numPr>
        <w:rPr>
          <w:lang w:val="en-US"/>
        </w:rPr>
      </w:pPr>
      <w:r w:rsidRPr="39A2C69A">
        <w:rPr>
          <w:b/>
          <w:bCs/>
          <w:lang w:val="en-US"/>
        </w:rPr>
        <w:t>Chair:</w:t>
      </w:r>
      <w:r w:rsidRPr="39A2C69A">
        <w:rPr>
          <w:lang w:val="en-US"/>
        </w:rPr>
        <w:t xml:space="preserve"> Suzanne Vardy, </w:t>
      </w:r>
      <w:r w:rsidR="00A964F3" w:rsidRPr="39A2C69A">
        <w:rPr>
          <w:lang w:val="en-US"/>
        </w:rPr>
        <w:t>Principal Scientist, Queensland Department of Environment, Science &amp; Innovation</w:t>
      </w:r>
    </w:p>
    <w:p w14:paraId="4C4A2AA2" w14:textId="21642BF4" w:rsidR="74BE7467" w:rsidRDefault="2C5F8EBF" w:rsidP="45FFD1F4">
      <w:pPr>
        <w:pStyle w:val="ListNumber"/>
        <w:ind w:left="810" w:hanging="360"/>
        <w:rPr>
          <w:lang w:val="en-US"/>
        </w:rPr>
      </w:pPr>
      <w:r w:rsidRPr="45FFD1F4">
        <w:rPr>
          <w:b/>
          <w:bCs/>
          <w:lang w:val="en-US"/>
        </w:rPr>
        <w:t>Members:</w:t>
      </w:r>
    </w:p>
    <w:p w14:paraId="7B33FEE0" w14:textId="0C773949" w:rsidR="7021F31B" w:rsidRDefault="1D8B9438" w:rsidP="45FFD1F4">
      <w:pPr>
        <w:pStyle w:val="ListNumber"/>
        <w:numPr>
          <w:ilvl w:val="1"/>
          <w:numId w:val="1"/>
        </w:numPr>
        <w:ind w:left="1170"/>
        <w:rPr>
          <w:lang w:val="en-US"/>
        </w:rPr>
      </w:pPr>
      <w:r w:rsidRPr="45FFD1F4">
        <w:rPr>
          <w:lang w:val="en-US"/>
        </w:rPr>
        <w:t>Chris Lee-Steere, Australian Environment Agency Pty Ltd</w:t>
      </w:r>
    </w:p>
    <w:p w14:paraId="4587AF25" w14:textId="6A5BE849" w:rsidR="7021F31B" w:rsidRDefault="1D8B9438" w:rsidP="45FFD1F4">
      <w:pPr>
        <w:pStyle w:val="ListNumber"/>
        <w:numPr>
          <w:ilvl w:val="1"/>
          <w:numId w:val="1"/>
        </w:numPr>
        <w:ind w:left="1170"/>
        <w:rPr>
          <w:lang w:val="en-US"/>
        </w:rPr>
      </w:pPr>
      <w:r w:rsidRPr="45FFD1F4">
        <w:rPr>
          <w:lang w:val="en-US"/>
        </w:rPr>
        <w:t xml:space="preserve">Jenny Stauber, </w:t>
      </w:r>
      <w:r w:rsidR="3F501CAC" w:rsidRPr="45FFD1F4">
        <w:rPr>
          <w:lang w:val="en-US"/>
        </w:rPr>
        <w:t xml:space="preserve">Chief Research Scientist, </w:t>
      </w:r>
      <w:r w:rsidRPr="45FFD1F4">
        <w:rPr>
          <w:lang w:val="en-US"/>
        </w:rPr>
        <w:t>CSIRO</w:t>
      </w:r>
      <w:r w:rsidR="66F50F9A" w:rsidRPr="45FFD1F4">
        <w:rPr>
          <w:lang w:val="en-US"/>
        </w:rPr>
        <w:t xml:space="preserve"> and </w:t>
      </w:r>
      <w:r w:rsidR="13715400" w:rsidRPr="45FFD1F4">
        <w:rPr>
          <w:lang w:val="en-US"/>
        </w:rPr>
        <w:t>La Trobe University</w:t>
      </w:r>
    </w:p>
    <w:p w14:paraId="7CCD5695" w14:textId="5A4A5BB2" w:rsidR="7021F31B" w:rsidRDefault="1D8B9438" w:rsidP="45FFD1F4">
      <w:pPr>
        <w:pStyle w:val="ListNumber"/>
        <w:numPr>
          <w:ilvl w:val="1"/>
          <w:numId w:val="1"/>
        </w:numPr>
        <w:ind w:left="1170"/>
        <w:rPr>
          <w:lang w:val="en-US"/>
        </w:rPr>
      </w:pPr>
      <w:r w:rsidRPr="45FFD1F4">
        <w:rPr>
          <w:lang w:val="en-US"/>
        </w:rPr>
        <w:t xml:space="preserve">Peter Dawson, Principal Scientist, Environmental Protection Authority New Zealand </w:t>
      </w:r>
    </w:p>
    <w:p w14:paraId="577562CC" w14:textId="0D5011FC" w:rsidR="7021F31B" w:rsidRDefault="1D8B9438" w:rsidP="45FFD1F4">
      <w:pPr>
        <w:pStyle w:val="ListNumber"/>
        <w:numPr>
          <w:ilvl w:val="1"/>
          <w:numId w:val="1"/>
        </w:numPr>
        <w:ind w:left="1170"/>
        <w:rPr>
          <w:lang w:val="en-US"/>
        </w:rPr>
      </w:pPr>
      <w:r w:rsidRPr="45FFD1F4">
        <w:rPr>
          <w:lang w:val="en-US"/>
        </w:rPr>
        <w:t>Reinier</w:t>
      </w:r>
      <w:r w:rsidR="3B6194FE" w:rsidRPr="45FFD1F4">
        <w:rPr>
          <w:lang w:val="en-US"/>
        </w:rPr>
        <w:t xml:space="preserve"> M.</w:t>
      </w:r>
      <w:r w:rsidRPr="45FFD1F4">
        <w:rPr>
          <w:lang w:val="en-US"/>
        </w:rPr>
        <w:t xml:space="preserve"> Mann, </w:t>
      </w:r>
      <w:r w:rsidR="320F7788" w:rsidRPr="45FFD1F4">
        <w:rPr>
          <w:lang w:val="en-US"/>
        </w:rPr>
        <w:t xml:space="preserve">Science Leader, </w:t>
      </w:r>
      <w:r w:rsidRPr="45FFD1F4">
        <w:rPr>
          <w:lang w:val="en-US"/>
        </w:rPr>
        <w:t>Queensland Department of Environment</w:t>
      </w:r>
      <w:r w:rsidR="320F7788" w:rsidRPr="45FFD1F4">
        <w:rPr>
          <w:lang w:val="en-US"/>
        </w:rPr>
        <w:t>,</w:t>
      </w:r>
      <w:r w:rsidRPr="45FFD1F4">
        <w:rPr>
          <w:lang w:val="en-US"/>
        </w:rPr>
        <w:t xml:space="preserve"> Science</w:t>
      </w:r>
      <w:r w:rsidR="320F7788" w:rsidRPr="45FFD1F4">
        <w:rPr>
          <w:lang w:val="en-US"/>
        </w:rPr>
        <w:t xml:space="preserve"> &amp; Innovation</w:t>
      </w:r>
    </w:p>
    <w:p w14:paraId="5305625C" w14:textId="2F40B8F9" w:rsidR="06AC3F4E" w:rsidRDefault="06AC3F4E" w:rsidP="7713419B">
      <w:r>
        <w:lastRenderedPageBreak/>
        <w:t xml:space="preserve">This document presents </w:t>
      </w:r>
      <w:r w:rsidR="07609800">
        <w:t xml:space="preserve">the </w:t>
      </w:r>
      <w:r>
        <w:t>technically supported responses and proposed recommendations from the independent review committee relating to issues 1, 2 and 3 above arising from the public comments process for the PFOS (f) DGVs.</w:t>
      </w:r>
    </w:p>
    <w:p w14:paraId="7401F422" w14:textId="2F0F2F43" w:rsidR="06AC3F4E" w:rsidRDefault="06AC3F4E" w:rsidP="7713419B">
      <w:pPr>
        <w:pStyle w:val="Heading3"/>
      </w:pPr>
      <w:bookmarkStart w:id="7" w:name="_Toc166677214"/>
      <w:r>
        <w:t xml:space="preserve">Approach to the </w:t>
      </w:r>
      <w:r w:rsidR="35FEB9B2">
        <w:t>R</w:t>
      </w:r>
      <w:r>
        <w:t>eview</w:t>
      </w:r>
      <w:bookmarkEnd w:id="7"/>
    </w:p>
    <w:p w14:paraId="382F29D8" w14:textId="6F4F0B59" w:rsidR="3DFA016D" w:rsidRDefault="3DFA016D" w:rsidP="00001130">
      <w:pPr>
        <w:spacing w:before="240"/>
      </w:pPr>
      <w:r>
        <w:t>The IRC was provided with the following relevant materials:</w:t>
      </w:r>
    </w:p>
    <w:p w14:paraId="57FD8B9A" w14:textId="46FA83FC" w:rsidR="71CE7E6A" w:rsidRDefault="71CE7E6A" w:rsidP="044B90E3">
      <w:pPr>
        <w:pStyle w:val="ListNumber"/>
        <w:numPr>
          <w:ilvl w:val="0"/>
          <w:numId w:val="6"/>
        </w:numPr>
      </w:pPr>
      <w:r>
        <w:t xml:space="preserve">Draft PFOS freshwater DGVs technical brief </w:t>
      </w:r>
      <w:r w:rsidR="61F9B7E4">
        <w:t>(ANZG 2023)</w:t>
      </w:r>
    </w:p>
    <w:p w14:paraId="094DA07B" w14:textId="3DD0F740" w:rsidR="71CE7E6A" w:rsidRDefault="71CE7E6A" w:rsidP="044B90E3">
      <w:pPr>
        <w:pStyle w:val="ListNumber"/>
        <w:numPr>
          <w:ilvl w:val="0"/>
          <w:numId w:val="6"/>
        </w:numPr>
      </w:pPr>
      <w:r>
        <w:t xml:space="preserve">All submitted public comments </w:t>
      </w:r>
    </w:p>
    <w:p w14:paraId="41E925CA" w14:textId="6F986688" w:rsidR="71CE7E6A" w:rsidRDefault="71CE7E6A" w:rsidP="044B90E3">
      <w:pPr>
        <w:pStyle w:val="ListNumber"/>
        <w:numPr>
          <w:ilvl w:val="0"/>
          <w:numId w:val="6"/>
        </w:numPr>
      </w:pPr>
      <w:r>
        <w:t xml:space="preserve">Warne et al. (2018) toxicant GV derivation method </w:t>
      </w:r>
    </w:p>
    <w:p w14:paraId="5638A0FD" w14:textId="348796BA" w:rsidR="71CE7E6A" w:rsidRDefault="71CE7E6A" w:rsidP="044B90E3">
      <w:pPr>
        <w:pStyle w:val="ListNumber"/>
        <w:numPr>
          <w:ilvl w:val="0"/>
          <w:numId w:val="6"/>
        </w:numPr>
      </w:pPr>
      <w:r>
        <w:t xml:space="preserve">Keiter et al. (2012) zebrafish study </w:t>
      </w:r>
    </w:p>
    <w:p w14:paraId="73D06075" w14:textId="4EC553A4" w:rsidR="71CE7E6A" w:rsidRDefault="71CE7E6A" w:rsidP="044B90E3">
      <w:pPr>
        <w:pStyle w:val="ListNumber"/>
        <w:numPr>
          <w:ilvl w:val="0"/>
          <w:numId w:val="6"/>
        </w:numPr>
      </w:pPr>
      <w:r>
        <w:t xml:space="preserve">Gust et al. (2023) zebrafish study </w:t>
      </w:r>
    </w:p>
    <w:p w14:paraId="1C7F448A" w14:textId="225F0C72" w:rsidR="71CE7E6A" w:rsidRDefault="71CE7E6A" w:rsidP="044B90E3">
      <w:pPr>
        <w:pStyle w:val="ListNumber"/>
        <w:numPr>
          <w:ilvl w:val="0"/>
          <w:numId w:val="6"/>
        </w:numPr>
      </w:pPr>
      <w:r>
        <w:t>Pandelides et al. (2023) zebrafish PFOS toxicity meta-review</w:t>
      </w:r>
    </w:p>
    <w:p w14:paraId="325C2F1F" w14:textId="0506D4C8" w:rsidR="71CE7E6A" w:rsidRDefault="71CE7E6A" w:rsidP="7713419B">
      <w:r>
        <w:t>Additional relevant materials</w:t>
      </w:r>
      <w:r w:rsidR="00A35C44">
        <w:t>, including all the journal papers referred to in the public submissions,</w:t>
      </w:r>
      <w:r>
        <w:t xml:space="preserve"> were also sourced and considered.</w:t>
      </w:r>
    </w:p>
    <w:p w14:paraId="061530B6" w14:textId="73EA5266" w:rsidR="2C0A6AA3" w:rsidRDefault="2C0A6AA3" w:rsidP="044B90E3">
      <w:r>
        <w:t>The IRC considered the technical merits of all the public submissions related to issues 1</w:t>
      </w:r>
      <w:r w:rsidR="00A35C44">
        <w:t xml:space="preserve">, </w:t>
      </w:r>
      <w:r>
        <w:t>2</w:t>
      </w:r>
      <w:r w:rsidR="00A35C44">
        <w:t xml:space="preserve"> and </w:t>
      </w:r>
      <w:r w:rsidR="00A75E0F">
        <w:t>3 above</w:t>
      </w:r>
      <w:r>
        <w:t>, includin</w:t>
      </w:r>
      <w:r w:rsidR="4F7CE47A">
        <w:t>g</w:t>
      </w:r>
      <w:r w:rsidR="60DF89D2">
        <w:t xml:space="preserve"> by</w:t>
      </w:r>
      <w:r w:rsidR="4F7CE47A">
        <w:t>:</w:t>
      </w:r>
    </w:p>
    <w:p w14:paraId="248F0C48" w14:textId="49ABF897" w:rsidR="207B4445" w:rsidRDefault="207B4445" w:rsidP="044B90E3">
      <w:pPr>
        <w:pStyle w:val="ListNumber"/>
        <w:numPr>
          <w:ilvl w:val="0"/>
          <w:numId w:val="4"/>
        </w:numPr>
      </w:pPr>
      <w:r>
        <w:t>Parallel consideration of the relevant decisions and</w:t>
      </w:r>
      <w:r w:rsidR="33314C57">
        <w:t xml:space="preserve"> justifications detailed in the draft PFOS (f) DGVs technical brief (ANZG 2023)</w:t>
      </w:r>
    </w:p>
    <w:p w14:paraId="492F78E8" w14:textId="60C1A0CA" w:rsidR="33314C57" w:rsidRDefault="33314C57" w:rsidP="044B90E3">
      <w:pPr>
        <w:pStyle w:val="ListNumber"/>
        <w:numPr>
          <w:ilvl w:val="0"/>
          <w:numId w:val="4"/>
        </w:numPr>
      </w:pPr>
      <w:r>
        <w:t xml:space="preserve">Assessment of the consistency with the toxicant guideline value derivation method detailed in Warne et al. </w:t>
      </w:r>
      <w:r w:rsidR="789845F8">
        <w:t>(2018)</w:t>
      </w:r>
    </w:p>
    <w:p w14:paraId="5B2B6FAF" w14:textId="35702967" w:rsidR="789845F8" w:rsidRDefault="789845F8" w:rsidP="044B90E3">
      <w:pPr>
        <w:pStyle w:val="ListNumber"/>
        <w:numPr>
          <w:ilvl w:val="0"/>
          <w:numId w:val="4"/>
        </w:numPr>
      </w:pPr>
      <w:r>
        <w:t xml:space="preserve">Consideration </w:t>
      </w:r>
      <w:r w:rsidR="3AEEF175">
        <w:t>of any other technical information that might inform the issues.</w:t>
      </w:r>
    </w:p>
    <w:p w14:paraId="7CDB42CB" w14:textId="320682CB" w:rsidR="3AEEF175" w:rsidRDefault="3AEEF175" w:rsidP="044B90E3">
      <w:r>
        <w:t>In this report, the IRC has</w:t>
      </w:r>
      <w:r w:rsidR="6608FAC4">
        <w:t xml:space="preserve"> provided responses to the public comments related to issues 1</w:t>
      </w:r>
      <w:r w:rsidR="00A35C44">
        <w:t>,</w:t>
      </w:r>
      <w:r w:rsidR="6608FAC4">
        <w:t xml:space="preserve"> 2</w:t>
      </w:r>
      <w:r w:rsidR="00A35C44">
        <w:t xml:space="preserve"> and 3</w:t>
      </w:r>
      <w:r w:rsidR="31F23602">
        <w:t xml:space="preserve">, supported by relevant technical </w:t>
      </w:r>
      <w:r w:rsidR="005202FC">
        <w:t>analysis and justifications. Recommendations are presented to address each issue.</w:t>
      </w:r>
      <w:r>
        <w:t xml:space="preserve"> </w:t>
      </w:r>
    </w:p>
    <w:p w14:paraId="303D2751" w14:textId="31B93152" w:rsidR="4301F19E" w:rsidRDefault="4301F19E">
      <w:r>
        <w:br w:type="page"/>
      </w:r>
    </w:p>
    <w:p w14:paraId="026B7436" w14:textId="1876E340" w:rsidR="007E5CF2" w:rsidRPr="0066042D" w:rsidRDefault="00C05884" w:rsidP="001C1DD3">
      <w:pPr>
        <w:pStyle w:val="Heading2"/>
        <w:rPr>
          <w:rFonts w:eastAsia="Times New Roman" w:cs="Times New Roman"/>
          <w:b/>
          <w:sz w:val="36"/>
          <w:szCs w:val="36"/>
        </w:rPr>
      </w:pPr>
      <w:bookmarkStart w:id="8" w:name="_Toc166677215"/>
      <w:r>
        <w:lastRenderedPageBreak/>
        <w:t xml:space="preserve">2. </w:t>
      </w:r>
      <w:r w:rsidR="00DF1DD1">
        <w:t>Specific concerns expressed in the public submissions</w:t>
      </w:r>
      <w:bookmarkStart w:id="9" w:name="_Toc430782151"/>
      <w:bookmarkEnd w:id="8"/>
      <w:bookmarkEnd w:id="9"/>
    </w:p>
    <w:p w14:paraId="57F64A9C" w14:textId="77777777" w:rsidR="00221B08" w:rsidRPr="00221B08" w:rsidRDefault="00221B08" w:rsidP="00221B08">
      <w:pPr>
        <w:pStyle w:val="ListParagraph"/>
        <w:keepNext/>
        <w:keepLines/>
        <w:numPr>
          <w:ilvl w:val="0"/>
          <w:numId w:val="34"/>
        </w:numPr>
        <w:outlineLvl w:val="2"/>
        <w:rPr>
          <w:rFonts w:eastAsia="Times New Roman" w:cs="Times New Roman"/>
          <w:b/>
          <w:bCs/>
          <w:vanish/>
          <w:sz w:val="36"/>
          <w:szCs w:val="24"/>
        </w:rPr>
      </w:pPr>
    </w:p>
    <w:p w14:paraId="2C92D3BC" w14:textId="387ABECB" w:rsidR="00764D6A" w:rsidRPr="009363CB" w:rsidRDefault="004F5713" w:rsidP="00221B08">
      <w:pPr>
        <w:pStyle w:val="Heading3"/>
      </w:pPr>
      <w:bookmarkStart w:id="10" w:name="_Toc166677216"/>
      <w:r>
        <w:t xml:space="preserve">Concerns Over the </w:t>
      </w:r>
      <w:r w:rsidR="50A15A6A">
        <w:t xml:space="preserve">Use of </w:t>
      </w:r>
      <w:r w:rsidR="00EE5A94">
        <w:t>Keiter et al. (2012)</w:t>
      </w:r>
      <w:bookmarkEnd w:id="10"/>
      <w:r w:rsidR="7AC2A784">
        <w:t xml:space="preserve"> </w:t>
      </w:r>
    </w:p>
    <w:p w14:paraId="382426A9" w14:textId="6A56B2C5" w:rsidR="00E779DB" w:rsidRPr="00E779DB" w:rsidRDefault="00E779DB" w:rsidP="00E779DB">
      <w:r>
        <w:t xml:space="preserve">Five of the six public consultation submissions expressed concern about use of a LOEC </w:t>
      </w:r>
      <w:r w:rsidR="009C2214">
        <w:t xml:space="preserve">for the zebrafish, </w:t>
      </w:r>
      <w:r w:rsidR="009C2214" w:rsidRPr="009C2214">
        <w:rPr>
          <w:i/>
          <w:iCs/>
        </w:rPr>
        <w:t>Danio rerio</w:t>
      </w:r>
      <w:r w:rsidR="009C2214">
        <w:t xml:space="preserve">, </w:t>
      </w:r>
      <w:r>
        <w:t xml:space="preserve">described in Keiter et al. (2012). </w:t>
      </w:r>
      <w:proofErr w:type="gramStart"/>
      <w:r>
        <w:t>For the purpose of</w:t>
      </w:r>
      <w:proofErr w:type="gramEnd"/>
      <w:r>
        <w:t xml:space="preserve"> </w:t>
      </w:r>
      <w:r w:rsidR="009C2214">
        <w:t xml:space="preserve">DGV </w:t>
      </w:r>
      <w:r>
        <w:t xml:space="preserve">derivation, the </w:t>
      </w:r>
      <w:r w:rsidR="00AF4651">
        <w:t xml:space="preserve">DGV </w:t>
      </w:r>
      <w:r>
        <w:t>authors adopted a LOEC</w:t>
      </w:r>
      <w:r w:rsidR="66AD4B98">
        <w:t xml:space="preserve"> </w:t>
      </w:r>
      <w:r>
        <w:t xml:space="preserve">(F2 growth) </w:t>
      </w:r>
      <w:r w:rsidR="00AF4651">
        <w:t xml:space="preserve">from this study </w:t>
      </w:r>
      <w:r>
        <w:t xml:space="preserve">of 0.734 µg/L. The LOEC was converted to a NOEC equivalent of 0.294 µg/L by dividing the LOEC by 5 as recommended by Warne et al. (2018). This is the lowest value used in the SSD. It is also almost three times lower than the next lowest value (0.92 µg/L for </w:t>
      </w:r>
      <w:r w:rsidRPr="4301F19E">
        <w:rPr>
          <w:i/>
          <w:iCs/>
        </w:rPr>
        <w:t xml:space="preserve">Chironomus tentans </w:t>
      </w:r>
      <w:r>
        <w:t xml:space="preserve">development). As such, the </w:t>
      </w:r>
      <w:r w:rsidR="00AF4651" w:rsidRPr="4301F19E">
        <w:rPr>
          <w:i/>
          <w:iCs/>
        </w:rPr>
        <w:t>D</w:t>
      </w:r>
      <w:r w:rsidR="00AF4651">
        <w:rPr>
          <w:i/>
          <w:iCs/>
        </w:rPr>
        <w:t>.</w:t>
      </w:r>
      <w:r w:rsidR="00AF4651" w:rsidRPr="4301F19E">
        <w:rPr>
          <w:i/>
          <w:iCs/>
        </w:rPr>
        <w:t xml:space="preserve"> </w:t>
      </w:r>
      <w:r w:rsidRPr="4301F19E">
        <w:rPr>
          <w:i/>
          <w:iCs/>
        </w:rPr>
        <w:t>r</w:t>
      </w:r>
      <w:r w:rsidR="00AF4651">
        <w:rPr>
          <w:i/>
          <w:iCs/>
        </w:rPr>
        <w:t>e</w:t>
      </w:r>
      <w:r w:rsidRPr="4301F19E">
        <w:rPr>
          <w:i/>
          <w:iCs/>
        </w:rPr>
        <w:t xml:space="preserve">rio </w:t>
      </w:r>
      <w:r>
        <w:t>value plays a pivotal role in determining the shape of the SSD and thus the magnitude of the</w:t>
      </w:r>
      <w:r w:rsidR="00A35C44">
        <w:t xml:space="preserve"> DGVs</w:t>
      </w:r>
      <w:r>
        <w:t>.</w:t>
      </w:r>
    </w:p>
    <w:p w14:paraId="5DEBE68D" w14:textId="1B1524FB" w:rsidR="00E779DB" w:rsidRPr="00E779DB" w:rsidRDefault="00E779DB" w:rsidP="00E779DB">
      <w:r w:rsidRPr="00E779DB">
        <w:t xml:space="preserve">Appendix C of the </w:t>
      </w:r>
      <w:r w:rsidR="00AF4651">
        <w:t>technical brief</w:t>
      </w:r>
      <w:r w:rsidRPr="00E779DB">
        <w:t xml:space="preserve"> provided the following rationale for the use of the Keiter et al. (2012) LOEC value:</w:t>
      </w:r>
    </w:p>
    <w:p w14:paraId="3DF8A22A" w14:textId="77777777" w:rsidR="00E779DB" w:rsidRPr="00E779DB" w:rsidRDefault="00E779DB" w:rsidP="005E3CE3">
      <w:pPr>
        <w:numPr>
          <w:ilvl w:val="1"/>
          <w:numId w:val="4"/>
        </w:numPr>
        <w:rPr>
          <w:lang w:val="en-US"/>
        </w:rPr>
      </w:pPr>
      <w:r w:rsidRPr="00E779DB">
        <w:rPr>
          <w:lang w:val="en-US"/>
        </w:rPr>
        <w:t>Concentrations were measured.</w:t>
      </w:r>
    </w:p>
    <w:p w14:paraId="0671F12A" w14:textId="77777777" w:rsidR="00E779DB" w:rsidRPr="00E779DB" w:rsidRDefault="00E779DB" w:rsidP="005E3CE3">
      <w:pPr>
        <w:numPr>
          <w:ilvl w:val="1"/>
          <w:numId w:val="4"/>
        </w:numPr>
        <w:rPr>
          <w:lang w:val="en-US"/>
        </w:rPr>
      </w:pPr>
      <w:r w:rsidRPr="00E779DB">
        <w:rPr>
          <w:lang w:val="en-US"/>
        </w:rPr>
        <w:t>The toxicity value (0.294 µg/L, converted from a LOEC of 0.735 µg/L) is the most sensitive of the data available for fish used in the DGV derivation. Exclusion of toxicity value may result in DGVs that are under-protective.</w:t>
      </w:r>
    </w:p>
    <w:p w14:paraId="5C3D8BCF" w14:textId="77777777" w:rsidR="00E779DB" w:rsidRPr="00E779DB" w:rsidRDefault="00E779DB" w:rsidP="00E779DB">
      <w:r w:rsidRPr="00E779DB">
        <w:t>Concern raised by public consultation submissions revolve around the following main issues</w:t>
      </w:r>
    </w:p>
    <w:p w14:paraId="0DDB7961" w14:textId="15387CDD" w:rsidR="00E779DB" w:rsidRPr="00E779DB" w:rsidRDefault="00E779DB" w:rsidP="00EE5015">
      <w:pPr>
        <w:numPr>
          <w:ilvl w:val="0"/>
          <w:numId w:val="23"/>
        </w:numPr>
        <w:rPr>
          <w:b/>
          <w:bCs/>
        </w:rPr>
      </w:pPr>
      <w:r w:rsidRPr="00E779DB">
        <w:rPr>
          <w:b/>
          <w:bCs/>
        </w:rPr>
        <w:t xml:space="preserve">The study design used by Keiter et al. (2012) was not appropriate for use in </w:t>
      </w:r>
      <w:r w:rsidR="00AF4651">
        <w:rPr>
          <w:b/>
          <w:bCs/>
        </w:rPr>
        <w:t>DGV</w:t>
      </w:r>
      <w:r w:rsidR="00AF4651" w:rsidRPr="00E779DB">
        <w:rPr>
          <w:b/>
          <w:bCs/>
        </w:rPr>
        <w:t xml:space="preserve"> </w:t>
      </w:r>
      <w:r w:rsidRPr="00E779DB">
        <w:rPr>
          <w:b/>
          <w:bCs/>
        </w:rPr>
        <w:t>derivation, because:</w:t>
      </w:r>
    </w:p>
    <w:p w14:paraId="37CC267A" w14:textId="77777777" w:rsidR="00E779DB" w:rsidRPr="00E779DB" w:rsidRDefault="00E779DB" w:rsidP="00EE5015">
      <w:pPr>
        <w:numPr>
          <w:ilvl w:val="1"/>
          <w:numId w:val="23"/>
        </w:numPr>
      </w:pPr>
      <w:r w:rsidRPr="00E779DB">
        <w:t>The lowest exposure concentration was separated by more than an order of magnitude from the next highest exposure concentration (i.e. 0.6 and 100 </w:t>
      </w:r>
      <w:r w:rsidRPr="00E779DB">
        <w:rPr>
          <w:lang w:val="en-US"/>
        </w:rPr>
        <w:t>µg/L (nominal)) which is inconsistent with the recommendations of Warne et al. (2018)</w:t>
      </w:r>
    </w:p>
    <w:p w14:paraId="2DECDE8D" w14:textId="1F2DFC75" w:rsidR="00E779DB" w:rsidRPr="00E779DB" w:rsidRDefault="4505A279" w:rsidP="00EE5015">
      <w:pPr>
        <w:numPr>
          <w:ilvl w:val="1"/>
          <w:numId w:val="23"/>
        </w:numPr>
      </w:pPr>
      <w:r w:rsidRPr="45FFD1F4">
        <w:rPr>
          <w:lang w:val="en-US"/>
        </w:rPr>
        <w:t>Poor replication. Two replicate tanks were used for each test solution. All animals in one of the replicate tanks where F2 males were exposed to 100 µg/L experience</w:t>
      </w:r>
      <w:r w:rsidR="34315B28" w:rsidRPr="45FFD1F4">
        <w:rPr>
          <w:lang w:val="en-US"/>
        </w:rPr>
        <w:t>d</w:t>
      </w:r>
      <w:r w:rsidRPr="45FFD1F4">
        <w:rPr>
          <w:lang w:val="en-US"/>
        </w:rPr>
        <w:t xml:space="preserve"> 95% mortality leaving a single replicate tank. One of the public consultation submissions suggested pseudo-replication; however, a reading of the methods section describing the statistical analyses used, is not detailed enough to infer which statistical tests were used in the various comparisons, and there is no indication how the loss of a whole replicate treatment (i.e. F2 exposed to 100 µg/L) was handled statistically</w:t>
      </w:r>
      <w:r w:rsidR="00605B6D">
        <w:rPr>
          <w:lang w:val="en-US"/>
        </w:rPr>
        <w:t>; i.e. there is not a statement indicating that each individual fish was used as a replicate (pseudo</w:t>
      </w:r>
      <w:r w:rsidR="008F6683">
        <w:rPr>
          <w:lang w:val="en-US"/>
        </w:rPr>
        <w:t>-</w:t>
      </w:r>
      <w:r w:rsidR="00605B6D">
        <w:rPr>
          <w:lang w:val="en-US"/>
        </w:rPr>
        <w:t>replication)</w:t>
      </w:r>
      <w:r w:rsidRPr="45FFD1F4">
        <w:rPr>
          <w:lang w:val="en-US"/>
        </w:rPr>
        <w:t>.</w:t>
      </w:r>
    </w:p>
    <w:p w14:paraId="7322A4F5" w14:textId="77777777" w:rsidR="00E779DB" w:rsidRPr="00E779DB" w:rsidRDefault="00E779DB" w:rsidP="00EE5015">
      <w:pPr>
        <w:numPr>
          <w:ilvl w:val="1"/>
          <w:numId w:val="23"/>
        </w:numPr>
      </w:pPr>
      <w:r w:rsidRPr="00E779DB">
        <w:rPr>
          <w:lang w:val="en-US"/>
        </w:rPr>
        <w:t>Inadequate measurements of test concentrations during the 330 days of exposure for the three generations of fish. Exposure water PFOS concentrations were measured approximately once per month.</w:t>
      </w:r>
    </w:p>
    <w:p w14:paraId="131F2DC3" w14:textId="331AEF4C" w:rsidR="00E779DB" w:rsidRPr="00E779DB" w:rsidRDefault="00E779DB" w:rsidP="00EE5015">
      <w:pPr>
        <w:numPr>
          <w:ilvl w:val="0"/>
          <w:numId w:val="23"/>
        </w:numPr>
        <w:rPr>
          <w:b/>
          <w:bCs/>
        </w:rPr>
      </w:pPr>
      <w:r w:rsidRPr="00E779DB">
        <w:rPr>
          <w:b/>
          <w:bCs/>
          <w:lang w:val="en-US"/>
        </w:rPr>
        <w:t xml:space="preserve">The results did not demonstrate a </w:t>
      </w:r>
      <w:r w:rsidR="000F2823">
        <w:rPr>
          <w:b/>
          <w:bCs/>
          <w:lang w:val="en-US"/>
        </w:rPr>
        <w:t>concentration-</w:t>
      </w:r>
      <w:r w:rsidRPr="00E779DB">
        <w:rPr>
          <w:b/>
          <w:bCs/>
          <w:lang w:val="en-US"/>
        </w:rPr>
        <w:t>response</w:t>
      </w:r>
      <w:r w:rsidR="000F2823">
        <w:rPr>
          <w:b/>
          <w:bCs/>
          <w:lang w:val="en-US"/>
        </w:rPr>
        <w:t xml:space="preserve"> relationship</w:t>
      </w:r>
      <w:r w:rsidRPr="00E779DB">
        <w:rPr>
          <w:b/>
          <w:bCs/>
          <w:lang w:val="en-US"/>
        </w:rPr>
        <w:t>.</w:t>
      </w:r>
    </w:p>
    <w:p w14:paraId="2E2B54E7" w14:textId="67A0311E" w:rsidR="00E779DB" w:rsidRPr="00E779DB" w:rsidRDefault="00E779DB" w:rsidP="00EE5015">
      <w:pPr>
        <w:numPr>
          <w:ilvl w:val="1"/>
          <w:numId w:val="23"/>
        </w:numPr>
      </w:pPr>
      <w:r>
        <w:lastRenderedPageBreak/>
        <w:t xml:space="preserve">The lengths and weights of F2 males exposed to 0.6 </w:t>
      </w:r>
      <w:r w:rsidRPr="2C4E3B28">
        <w:rPr>
          <w:lang w:val="en-US"/>
        </w:rPr>
        <w:t>µg/L</w:t>
      </w:r>
      <w:r>
        <w:t xml:space="preserve"> for 30 days were significantly different from controls, but lengths and weights of F2 males exposed to 100 </w:t>
      </w:r>
      <w:r w:rsidRPr="2C4E3B28">
        <w:rPr>
          <w:lang w:val="en-US"/>
        </w:rPr>
        <w:t xml:space="preserve">µg/L for 30 days were not significantly different to controls. Similarly, the weights of </w:t>
      </w:r>
      <w:r>
        <w:t xml:space="preserve">F2 females exposed to 0.6 </w:t>
      </w:r>
      <w:r w:rsidRPr="2C4E3B28">
        <w:rPr>
          <w:lang w:val="en-US"/>
        </w:rPr>
        <w:t>µg/L</w:t>
      </w:r>
      <w:r>
        <w:t xml:space="preserve"> for 30 days w</w:t>
      </w:r>
      <w:r w:rsidR="0D87FB71">
        <w:t>ere</w:t>
      </w:r>
      <w:r>
        <w:t xml:space="preserve"> significantly different from controls, but weights of F2 females exposed to 100 </w:t>
      </w:r>
      <w:r w:rsidRPr="2C4E3B28">
        <w:rPr>
          <w:lang w:val="en-US"/>
        </w:rPr>
        <w:t>µg/L for 30 days w</w:t>
      </w:r>
      <w:r w:rsidR="45B73964" w:rsidRPr="2C4E3B28">
        <w:rPr>
          <w:lang w:val="en-US"/>
        </w:rPr>
        <w:t>ere</w:t>
      </w:r>
      <w:r w:rsidRPr="2C4E3B28">
        <w:rPr>
          <w:lang w:val="en-US"/>
        </w:rPr>
        <w:t xml:space="preserve"> not significantly different to controls.</w:t>
      </w:r>
    </w:p>
    <w:p w14:paraId="4F64EB32" w14:textId="77777777" w:rsidR="00E779DB" w:rsidRPr="00E779DB" w:rsidRDefault="00E779DB" w:rsidP="00EE5015">
      <w:pPr>
        <w:numPr>
          <w:ilvl w:val="1"/>
          <w:numId w:val="23"/>
        </w:numPr>
      </w:pPr>
      <w:r w:rsidRPr="00E779DB">
        <w:t xml:space="preserve">The lengths and weights of F2 males exposed to 0.6 </w:t>
      </w:r>
      <w:r w:rsidRPr="00E779DB">
        <w:rPr>
          <w:lang w:val="en-US"/>
        </w:rPr>
        <w:t>µg/L</w:t>
      </w:r>
      <w:r w:rsidRPr="00E779DB">
        <w:t xml:space="preserve"> for 30 or 90 days were significantly different from controls, but lengths and weights of F2 males exposed to 0.6 </w:t>
      </w:r>
      <w:r w:rsidRPr="00E779DB">
        <w:rPr>
          <w:lang w:val="en-US"/>
        </w:rPr>
        <w:t>µg/L for 180 days were not significantly different to controls. Similarly, t</w:t>
      </w:r>
      <w:r w:rsidRPr="00E779DB">
        <w:t xml:space="preserve">he weights of F2 females exposed to 0.6 </w:t>
      </w:r>
      <w:r w:rsidRPr="00E779DB">
        <w:rPr>
          <w:lang w:val="en-US"/>
        </w:rPr>
        <w:t>µg/L</w:t>
      </w:r>
      <w:r w:rsidRPr="00E779DB">
        <w:t xml:space="preserve"> for 30 or 90 days were significantly different from controls, but the weights of F2 females exposed to 0.6 </w:t>
      </w:r>
      <w:r w:rsidRPr="00E779DB">
        <w:rPr>
          <w:lang w:val="en-US"/>
        </w:rPr>
        <w:t>µg/L for 180 days were not significantly different to controls.</w:t>
      </w:r>
    </w:p>
    <w:p w14:paraId="6D9FCFBA" w14:textId="77777777" w:rsidR="00E779DB" w:rsidRPr="00E779DB" w:rsidRDefault="00E779DB" w:rsidP="00EE5015">
      <w:pPr>
        <w:numPr>
          <w:ilvl w:val="1"/>
          <w:numId w:val="23"/>
        </w:numPr>
      </w:pPr>
      <w:r w:rsidRPr="00E779DB">
        <w:rPr>
          <w:lang w:val="en-US"/>
        </w:rPr>
        <w:t xml:space="preserve">The lengths of F1 males exposed to </w:t>
      </w:r>
      <w:r w:rsidRPr="00E779DB">
        <w:t xml:space="preserve">0.6 </w:t>
      </w:r>
      <w:r w:rsidRPr="00E779DB">
        <w:rPr>
          <w:lang w:val="en-US"/>
        </w:rPr>
        <w:t>µg/L</w:t>
      </w:r>
      <w:r w:rsidRPr="00E779DB">
        <w:t xml:space="preserve"> for 90 days were significantly different from controls, but the lengths of F1 males exposed to 0.6 </w:t>
      </w:r>
      <w:r w:rsidRPr="00E779DB">
        <w:rPr>
          <w:lang w:val="en-US"/>
        </w:rPr>
        <w:t xml:space="preserve">µg/L for 180 days were not significantly different to controls. Similarly, the weights of F1 males exposed to </w:t>
      </w:r>
      <w:r w:rsidRPr="00E779DB">
        <w:t xml:space="preserve">0.6, 100 and 300 </w:t>
      </w:r>
      <w:r w:rsidRPr="00E779DB">
        <w:rPr>
          <w:lang w:val="en-US"/>
        </w:rPr>
        <w:t>µg/L</w:t>
      </w:r>
      <w:r w:rsidRPr="00E779DB">
        <w:t xml:space="preserve"> for 90 days were significantly different from controls, but the weights of F1 males exposed to all three concentrations</w:t>
      </w:r>
      <w:r w:rsidRPr="00E779DB">
        <w:rPr>
          <w:lang w:val="en-US"/>
        </w:rPr>
        <w:t xml:space="preserve"> for 180 days were not significantly different to controls.</w:t>
      </w:r>
    </w:p>
    <w:p w14:paraId="26F1085C" w14:textId="77777777" w:rsidR="00E779DB" w:rsidRPr="00E779DB" w:rsidRDefault="00E779DB" w:rsidP="00EE5015">
      <w:pPr>
        <w:numPr>
          <w:ilvl w:val="0"/>
          <w:numId w:val="23"/>
        </w:numPr>
        <w:rPr>
          <w:b/>
          <w:bCs/>
          <w:lang w:val="en-US"/>
        </w:rPr>
      </w:pPr>
      <w:r w:rsidRPr="00E779DB">
        <w:rPr>
          <w:b/>
          <w:bCs/>
          <w:lang w:val="en-US"/>
        </w:rPr>
        <w:t>Other toxicity data, of higher reliability, are available in the literature.</w:t>
      </w:r>
    </w:p>
    <w:p w14:paraId="07DA7995" w14:textId="07892B83" w:rsidR="00E779DB" w:rsidRPr="00E779DB" w:rsidRDefault="00E779DB" w:rsidP="00EE5015">
      <w:pPr>
        <w:numPr>
          <w:ilvl w:val="1"/>
          <w:numId w:val="23"/>
        </w:numPr>
        <w:rPr>
          <w:lang w:val="en-US"/>
        </w:rPr>
      </w:pPr>
      <w:r>
        <w:t xml:space="preserve">Five of the six </w:t>
      </w:r>
      <w:r w:rsidR="6CDA6E09">
        <w:t>submissions</w:t>
      </w:r>
      <w:r>
        <w:t xml:space="preserve"> referred to the availability of the data published in Gust et al. (2023). Gust et al. (2023) was published after the public consultation responses were received, but the respondents asserted that data from that study had been readily available for some time. Gust et al. (2023) is referred to in public consultation submissions as the United States Army Corps of Engineer (USACE) study, or alternatively as the Strategic Environmental Research and Development Program (SERDP) study. The study was designed to address the design flaws of Keiter et al. (2012) and differs from the latter in that it:</w:t>
      </w:r>
    </w:p>
    <w:p w14:paraId="6376F988" w14:textId="77777777" w:rsidR="00E779DB" w:rsidRPr="00E779DB" w:rsidRDefault="00E779DB" w:rsidP="00EE5015">
      <w:pPr>
        <w:numPr>
          <w:ilvl w:val="1"/>
          <w:numId w:val="22"/>
        </w:numPr>
        <w:ind w:left="2127"/>
      </w:pPr>
      <w:r w:rsidRPr="00E779DB">
        <w:t>used five PFOS exposure concentrations (0.1, 0.6, 3.2, 20, 100 μg/L) instead of three PFOS exposure concentrations (0.6, 100, and 300 μg/L), thus ensuring that all exposure concentrations were within a factor of 10 times that of adjacent exposure concentrations,</w:t>
      </w:r>
    </w:p>
    <w:p w14:paraId="664FBD48" w14:textId="77777777" w:rsidR="00E779DB" w:rsidRPr="00E779DB" w:rsidRDefault="00E779DB" w:rsidP="00EE5015">
      <w:pPr>
        <w:numPr>
          <w:ilvl w:val="1"/>
          <w:numId w:val="22"/>
        </w:numPr>
        <w:ind w:left="2127"/>
      </w:pPr>
      <w:r w:rsidRPr="00E779DB">
        <w:t>relied on five replicates per exposure concentration instead of only two replicates per exposure concentration, thus improving statistical power.</w:t>
      </w:r>
    </w:p>
    <w:p w14:paraId="1C1D5C0F" w14:textId="3456EB60" w:rsidR="00E779DB" w:rsidRPr="00E779DB" w:rsidRDefault="00E779DB" w:rsidP="00EE5015">
      <w:pPr>
        <w:numPr>
          <w:ilvl w:val="1"/>
          <w:numId w:val="22"/>
        </w:numPr>
        <w:ind w:left="2127"/>
      </w:pPr>
      <w:r>
        <w:t>PFOS in water w</w:t>
      </w:r>
      <w:r w:rsidR="16968E58">
        <w:t>as</w:t>
      </w:r>
      <w:r>
        <w:t xml:space="preserve"> measured weekly,</w:t>
      </w:r>
    </w:p>
    <w:p w14:paraId="2D616A51" w14:textId="2B5AF540" w:rsidR="00E779DB" w:rsidRPr="00E779DB" w:rsidRDefault="00E779DB" w:rsidP="00EE5015">
      <w:pPr>
        <w:numPr>
          <w:ilvl w:val="1"/>
          <w:numId w:val="22"/>
        </w:numPr>
        <w:ind w:left="2127"/>
      </w:pPr>
      <w:r w:rsidRPr="00E779DB">
        <w:t>all the raw data were made available.</w:t>
      </w:r>
      <w:r w:rsidR="008C68C0">
        <w:t xml:space="preserve"> </w:t>
      </w:r>
      <w:r w:rsidR="008C68C0" w:rsidRPr="00E779DB">
        <w:t>The raw data provided in the supplementary materials would make possible the calculation of EC10 values</w:t>
      </w:r>
      <w:r w:rsidR="00D96AF3">
        <w:t xml:space="preserve"> or other statistics for use in </w:t>
      </w:r>
      <w:r w:rsidR="00044FB6">
        <w:t xml:space="preserve">DGV </w:t>
      </w:r>
      <w:r w:rsidR="00D96AF3">
        <w:t>derivation</w:t>
      </w:r>
      <w:r w:rsidR="008C68C0" w:rsidRPr="00E779DB">
        <w:t>.</w:t>
      </w:r>
    </w:p>
    <w:p w14:paraId="0D38681E" w14:textId="5FE7E177" w:rsidR="00E779DB" w:rsidRPr="00E779DB" w:rsidRDefault="00E779DB" w:rsidP="002B7291">
      <w:pPr>
        <w:ind w:left="1418"/>
      </w:pPr>
      <w:r w:rsidRPr="00E779DB">
        <w:lastRenderedPageBreak/>
        <w:t>The results of Gust et al. (2012) did not indicate any toxicological effects at concentrations below 1.0</w:t>
      </w:r>
      <w:r w:rsidR="00B25816">
        <w:t> </w:t>
      </w:r>
      <w:r w:rsidRPr="00E779DB">
        <w:t xml:space="preserve">μg/L and thus supported concerns raised about the reliability of the Keiter et al. (2012) results. </w:t>
      </w:r>
    </w:p>
    <w:p w14:paraId="47FEED56" w14:textId="059090DA" w:rsidR="00E779DB" w:rsidRPr="00E779DB" w:rsidRDefault="00E779DB" w:rsidP="00EE5015">
      <w:pPr>
        <w:numPr>
          <w:ilvl w:val="1"/>
          <w:numId w:val="23"/>
        </w:numPr>
      </w:pPr>
      <w:r w:rsidRPr="00E779DB">
        <w:t xml:space="preserve">One submission provided a list of studies that examined the effects of PFOS in zebra fish. </w:t>
      </w:r>
      <w:proofErr w:type="gramStart"/>
      <w:r w:rsidRPr="00E779DB">
        <w:t>One in particular, Du</w:t>
      </w:r>
      <w:proofErr w:type="gramEnd"/>
      <w:r w:rsidRPr="00E779DB">
        <w:t xml:space="preserve"> et al. (2009) reported a maximum acceptable toxicant concentration (MATC) which was adopted for use in an SSD by Environment and Climate Change Canada (ECCC 2018).</w:t>
      </w:r>
    </w:p>
    <w:p w14:paraId="19E3DD0D" w14:textId="1611BFE8" w:rsidR="00E779DB" w:rsidRPr="00E779DB" w:rsidRDefault="00E779DB" w:rsidP="00EE5015">
      <w:pPr>
        <w:numPr>
          <w:ilvl w:val="1"/>
          <w:numId w:val="23"/>
        </w:numPr>
      </w:pPr>
      <w:r w:rsidRPr="00E779DB">
        <w:t>One submission suggested that the availability of other zebra fish studies had permitted the US EPA to calculate a geometric mean in the development of Draft Aquatic Life Ambient Water Quality Criteria for PFOS, without using the Keiter data.</w:t>
      </w:r>
    </w:p>
    <w:p w14:paraId="412FD38D" w14:textId="426E37DB" w:rsidR="001D5F7F" w:rsidRPr="001D5F7F" w:rsidRDefault="001D5F7F" w:rsidP="00E779DB">
      <w:pPr>
        <w:rPr>
          <w:b/>
          <w:bCs/>
          <w:lang w:val="en-US"/>
        </w:rPr>
      </w:pPr>
      <w:r w:rsidRPr="001D5F7F">
        <w:rPr>
          <w:b/>
          <w:bCs/>
          <w:lang w:val="en-US"/>
        </w:rPr>
        <w:t xml:space="preserve">View of the </w:t>
      </w:r>
      <w:r w:rsidR="004F5713">
        <w:rPr>
          <w:b/>
          <w:bCs/>
          <w:lang w:val="en-US"/>
        </w:rPr>
        <w:t>IRC</w:t>
      </w:r>
      <w:r w:rsidRPr="001D5F7F">
        <w:rPr>
          <w:b/>
          <w:bCs/>
          <w:lang w:val="en-US"/>
        </w:rPr>
        <w:t>:</w:t>
      </w:r>
    </w:p>
    <w:p w14:paraId="435AA914" w14:textId="18777C39" w:rsidR="00B84354" w:rsidRDefault="00E779DB" w:rsidP="00E04721">
      <w:pPr>
        <w:rPr>
          <w:lang w:val="en-US"/>
        </w:rPr>
      </w:pPr>
      <w:r w:rsidRPr="4301F19E">
        <w:rPr>
          <w:lang w:val="en-US"/>
        </w:rPr>
        <w:t xml:space="preserve">As noted by </w:t>
      </w:r>
      <w:r w:rsidR="00C431C7" w:rsidRPr="2C4E3B28">
        <w:rPr>
          <w:lang w:val="en-US"/>
        </w:rPr>
        <w:t xml:space="preserve">one of </w:t>
      </w:r>
      <w:r w:rsidRPr="4301F19E">
        <w:rPr>
          <w:lang w:val="en-US"/>
        </w:rPr>
        <w:t>the submission</w:t>
      </w:r>
      <w:r w:rsidR="00D53C79" w:rsidRPr="2C4E3B28">
        <w:rPr>
          <w:lang w:val="en-US"/>
        </w:rPr>
        <w:t>s</w:t>
      </w:r>
      <w:r w:rsidRPr="4301F19E">
        <w:rPr>
          <w:lang w:val="en-US"/>
        </w:rPr>
        <w:t>, despite the shortcomings of the Keiter et al. (2012) study design, the ANZG quality screening methodology still scored the Keiter study as a study of acceptable quality. The absence of a clear</w:t>
      </w:r>
      <w:r w:rsidR="000F2823">
        <w:rPr>
          <w:lang w:val="en-US"/>
        </w:rPr>
        <w:t>,</w:t>
      </w:r>
      <w:r w:rsidRPr="4301F19E">
        <w:rPr>
          <w:lang w:val="en-US"/>
        </w:rPr>
        <w:t xml:space="preserve"> monotonic </w:t>
      </w:r>
      <w:r w:rsidR="000F2823">
        <w:rPr>
          <w:lang w:val="en-US"/>
        </w:rPr>
        <w:t>concentration-response relationship</w:t>
      </w:r>
      <w:r w:rsidR="000F2823" w:rsidRPr="4301F19E">
        <w:rPr>
          <w:lang w:val="en-US"/>
        </w:rPr>
        <w:t xml:space="preserve"> </w:t>
      </w:r>
      <w:r w:rsidRPr="4301F19E">
        <w:rPr>
          <w:lang w:val="en-US"/>
        </w:rPr>
        <w:t xml:space="preserve">should reduce the quality score for the </w:t>
      </w:r>
      <w:r w:rsidR="0CDCCE81" w:rsidRPr="4301F19E">
        <w:rPr>
          <w:lang w:val="en-US"/>
        </w:rPr>
        <w:t>study but</w:t>
      </w:r>
      <w:r w:rsidRPr="4301F19E">
        <w:rPr>
          <w:lang w:val="en-US"/>
        </w:rPr>
        <w:t xml:space="preserve"> would not necessarily preclude the use of the study for </w:t>
      </w:r>
      <w:r w:rsidR="00CB1896">
        <w:rPr>
          <w:lang w:val="en-US"/>
        </w:rPr>
        <w:t>DGV</w:t>
      </w:r>
      <w:r w:rsidR="00CB1896" w:rsidRPr="4301F19E">
        <w:rPr>
          <w:lang w:val="en-US"/>
        </w:rPr>
        <w:t xml:space="preserve"> </w:t>
      </w:r>
      <w:r w:rsidRPr="4301F19E">
        <w:rPr>
          <w:lang w:val="en-US"/>
        </w:rPr>
        <w:t>derivation</w:t>
      </w:r>
      <w:r w:rsidR="007A5510">
        <w:rPr>
          <w:lang w:val="en-US"/>
        </w:rPr>
        <w:t>.</w:t>
      </w:r>
      <w:r w:rsidR="0063100A">
        <w:rPr>
          <w:lang w:val="en-US"/>
        </w:rPr>
        <w:t xml:space="preserve"> </w:t>
      </w:r>
      <w:r w:rsidR="0098193C">
        <w:rPr>
          <w:lang w:val="en-US"/>
        </w:rPr>
        <w:t>The estimated differences in growth parameters for the F2 cohort are presented in Table 1. The estimates in Table 1 have been taken off the graphs in Keiter et al. (2012</w:t>
      </w:r>
      <w:proofErr w:type="gramStart"/>
      <w:r w:rsidR="0098193C">
        <w:rPr>
          <w:lang w:val="en-US"/>
        </w:rPr>
        <w:t>), and</w:t>
      </w:r>
      <w:proofErr w:type="gramEnd"/>
      <w:r w:rsidR="0098193C">
        <w:rPr>
          <w:lang w:val="en-US"/>
        </w:rPr>
        <w:t xml:space="preserve"> are likely to only approximate the data collected by the authors. The data do indicate substantial differences</w:t>
      </w:r>
      <w:r w:rsidR="000D6A4C">
        <w:rPr>
          <w:lang w:val="en-US"/>
        </w:rPr>
        <w:t xml:space="preserve"> (19.7% to 50%) at the </w:t>
      </w:r>
      <w:proofErr w:type="gramStart"/>
      <w:r w:rsidR="000D6A4C">
        <w:rPr>
          <w:lang w:val="en-US"/>
        </w:rPr>
        <w:t>30 day</w:t>
      </w:r>
      <w:proofErr w:type="gramEnd"/>
      <w:r w:rsidR="000D6A4C">
        <w:rPr>
          <w:lang w:val="en-US"/>
        </w:rPr>
        <w:t xml:space="preserve"> mark, but these differences largely disappear at the 180 day mark (5.7% to 7.7%) with </w:t>
      </w:r>
      <w:r w:rsidR="00FA3B27">
        <w:rPr>
          <w:lang w:val="en-US"/>
        </w:rPr>
        <w:t xml:space="preserve">PFOS-exposed males showing </w:t>
      </w:r>
      <w:r w:rsidR="000D6A4C">
        <w:rPr>
          <w:lang w:val="en-US"/>
        </w:rPr>
        <w:t xml:space="preserve">even greater growth </w:t>
      </w:r>
      <w:r w:rsidR="00FA3B27">
        <w:rPr>
          <w:lang w:val="en-US"/>
        </w:rPr>
        <w:t>than controls animals</w:t>
      </w:r>
      <w:r w:rsidR="000D6A4C">
        <w:rPr>
          <w:lang w:val="en-US"/>
        </w:rPr>
        <w:t xml:space="preserve">. </w:t>
      </w:r>
    </w:p>
    <w:p w14:paraId="56516324" w14:textId="65C8E87E" w:rsidR="006B2DAA" w:rsidRDefault="0098193C" w:rsidP="00E04721">
      <w:pPr>
        <w:pStyle w:val="TableHeading"/>
        <w:rPr>
          <w:lang w:val="en-US"/>
        </w:rPr>
      </w:pPr>
      <w:r>
        <w:rPr>
          <w:lang w:val="en-US"/>
        </w:rPr>
        <w:t>Table 1</w:t>
      </w:r>
      <w:r w:rsidR="00260257">
        <w:rPr>
          <w:lang w:val="en-US"/>
        </w:rPr>
        <w:t>:</w:t>
      </w:r>
      <w:r>
        <w:rPr>
          <w:lang w:val="en-US"/>
        </w:rPr>
        <w:t xml:space="preserve"> Growth parameters for the F2 cohort based on visual estimates taken from Figure 4 in Keiter et al. (2012)</w:t>
      </w:r>
    </w:p>
    <w:tbl>
      <w:tblPr>
        <w:tblStyle w:val="LightShading1"/>
        <w:tblW w:w="0" w:type="auto"/>
        <w:jc w:val="center"/>
        <w:tblLook w:val="04A0" w:firstRow="1" w:lastRow="0" w:firstColumn="1" w:lastColumn="0" w:noHBand="0" w:noVBand="1"/>
      </w:tblPr>
      <w:tblGrid>
        <w:gridCol w:w="2634"/>
        <w:gridCol w:w="936"/>
        <w:gridCol w:w="1748"/>
        <w:gridCol w:w="2410"/>
      </w:tblGrid>
      <w:tr w:rsidR="006B2DAA" w14:paraId="10002664" w14:textId="77777777" w:rsidTr="00E0472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C5B1470" w14:textId="4A63A432" w:rsidR="00B84354" w:rsidRPr="00E04721" w:rsidRDefault="00B84354" w:rsidP="00E04721">
            <w:pPr>
              <w:jc w:val="center"/>
              <w:rPr>
                <w:sz w:val="20"/>
                <w:szCs w:val="20"/>
                <w:lang w:val="en-US"/>
              </w:rPr>
            </w:pPr>
            <w:r w:rsidRPr="00E04721">
              <w:rPr>
                <w:sz w:val="20"/>
                <w:szCs w:val="20"/>
                <w:lang w:val="en-US"/>
              </w:rPr>
              <w:t>Cohort</w:t>
            </w:r>
          </w:p>
        </w:tc>
        <w:tc>
          <w:tcPr>
            <w:tcW w:w="0" w:type="auto"/>
          </w:tcPr>
          <w:p w14:paraId="4D2C18E1" w14:textId="229115FD" w:rsidR="00B84354" w:rsidRPr="00E04721" w:rsidRDefault="00B84354" w:rsidP="00E04721">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E04721">
              <w:rPr>
                <w:sz w:val="20"/>
                <w:szCs w:val="20"/>
                <w:lang w:val="en-US"/>
              </w:rPr>
              <w:t>Control</w:t>
            </w:r>
          </w:p>
        </w:tc>
        <w:tc>
          <w:tcPr>
            <w:tcW w:w="0" w:type="auto"/>
          </w:tcPr>
          <w:p w14:paraId="2FC343E2" w14:textId="52A76B85" w:rsidR="00B84354" w:rsidRPr="00E04721" w:rsidRDefault="00B84354" w:rsidP="00E04721">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E04721">
              <w:rPr>
                <w:sz w:val="20"/>
                <w:szCs w:val="20"/>
                <w:lang w:val="en-US"/>
              </w:rPr>
              <w:t>0.6 µg/L</w:t>
            </w:r>
            <w:r w:rsidR="006B2DAA" w:rsidRPr="00E04721">
              <w:rPr>
                <w:sz w:val="20"/>
                <w:szCs w:val="20"/>
                <w:lang w:val="en-US"/>
              </w:rPr>
              <w:t xml:space="preserve"> (nominal)</w:t>
            </w:r>
          </w:p>
        </w:tc>
        <w:tc>
          <w:tcPr>
            <w:tcW w:w="0" w:type="auto"/>
          </w:tcPr>
          <w:p w14:paraId="71100E43" w14:textId="401521AB" w:rsidR="00B84354" w:rsidRPr="00E04721" w:rsidRDefault="00B84354" w:rsidP="00E04721">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E04721">
              <w:rPr>
                <w:sz w:val="20"/>
                <w:szCs w:val="20"/>
                <w:lang w:val="en-US"/>
              </w:rPr>
              <w:t>Per cent difference</w:t>
            </w:r>
          </w:p>
        </w:tc>
      </w:tr>
      <w:tr w:rsidR="006B2DAA" w14:paraId="44A363C2" w14:textId="77777777" w:rsidTr="00E047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0CD7C27" w14:textId="7B1371B4" w:rsidR="00E377B0" w:rsidRPr="00E04721" w:rsidRDefault="00B84354" w:rsidP="006B2DAA">
            <w:pPr>
              <w:rPr>
                <w:sz w:val="20"/>
                <w:szCs w:val="20"/>
                <w:lang w:val="en-US"/>
              </w:rPr>
            </w:pPr>
            <w:r w:rsidRPr="00E04721">
              <w:rPr>
                <w:sz w:val="20"/>
                <w:szCs w:val="20"/>
                <w:lang w:val="en-US"/>
              </w:rPr>
              <w:t xml:space="preserve">F2 female length </w:t>
            </w:r>
            <w:r w:rsidR="006B2DAA">
              <w:rPr>
                <w:sz w:val="20"/>
                <w:szCs w:val="20"/>
                <w:lang w:val="en-US"/>
              </w:rPr>
              <w:t xml:space="preserve">at </w:t>
            </w:r>
            <w:r w:rsidRPr="00E04721">
              <w:rPr>
                <w:sz w:val="20"/>
                <w:szCs w:val="20"/>
                <w:lang w:val="en-US"/>
              </w:rPr>
              <w:t>30 days</w:t>
            </w:r>
          </w:p>
        </w:tc>
        <w:tc>
          <w:tcPr>
            <w:tcW w:w="0" w:type="auto"/>
          </w:tcPr>
          <w:p w14:paraId="1620DC5B" w14:textId="46838BA2" w:rsidR="00E377B0" w:rsidRPr="00E04721" w:rsidRDefault="00B84354" w:rsidP="00E04721">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04721">
              <w:rPr>
                <w:sz w:val="20"/>
                <w:szCs w:val="20"/>
                <w:lang w:val="en-US"/>
              </w:rPr>
              <w:t>11.6 mm</w:t>
            </w:r>
          </w:p>
        </w:tc>
        <w:tc>
          <w:tcPr>
            <w:tcW w:w="0" w:type="auto"/>
          </w:tcPr>
          <w:p w14:paraId="05B25006" w14:textId="385470DB" w:rsidR="00B84354" w:rsidRPr="00E04721" w:rsidRDefault="00B84354" w:rsidP="00E04721">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04721">
              <w:rPr>
                <w:sz w:val="20"/>
                <w:szCs w:val="20"/>
                <w:lang w:val="en-US"/>
              </w:rPr>
              <w:t>9</w:t>
            </w:r>
            <w:r w:rsidR="006B2DAA">
              <w:rPr>
                <w:sz w:val="20"/>
                <w:szCs w:val="20"/>
                <w:lang w:val="en-US"/>
              </w:rPr>
              <w:t>.</w:t>
            </w:r>
            <w:r w:rsidRPr="00E04721">
              <w:rPr>
                <w:sz w:val="20"/>
                <w:szCs w:val="20"/>
                <w:lang w:val="en-US"/>
              </w:rPr>
              <w:t>3 mm</w:t>
            </w:r>
          </w:p>
        </w:tc>
        <w:tc>
          <w:tcPr>
            <w:tcW w:w="0" w:type="auto"/>
          </w:tcPr>
          <w:p w14:paraId="24B4BC2A" w14:textId="78227582" w:rsidR="00B84354" w:rsidRPr="00E04721" w:rsidRDefault="00B84354" w:rsidP="00E04721">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04721">
              <w:rPr>
                <w:sz w:val="20"/>
                <w:szCs w:val="20"/>
                <w:lang w:val="en-US"/>
              </w:rPr>
              <w:t>19.7% smaller (p&lt;</w:t>
            </w:r>
            <w:r w:rsidR="00E377B0" w:rsidRPr="00E04721">
              <w:rPr>
                <w:sz w:val="20"/>
                <w:szCs w:val="20"/>
                <w:lang w:val="en-US"/>
              </w:rPr>
              <w:t>0</w:t>
            </w:r>
            <w:r w:rsidRPr="00E04721">
              <w:rPr>
                <w:sz w:val="20"/>
                <w:szCs w:val="20"/>
                <w:lang w:val="en-US"/>
              </w:rPr>
              <w:t>.001)</w:t>
            </w:r>
          </w:p>
        </w:tc>
      </w:tr>
      <w:tr w:rsidR="00E377B0" w14:paraId="6D24A5E7" w14:textId="77777777" w:rsidTr="00E0472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DE7FDDC" w14:textId="2190541D" w:rsidR="00E377B0" w:rsidRPr="00E04721" w:rsidRDefault="00E377B0" w:rsidP="006B2DAA">
            <w:pPr>
              <w:rPr>
                <w:sz w:val="20"/>
                <w:szCs w:val="20"/>
                <w:lang w:val="en-US"/>
              </w:rPr>
            </w:pPr>
            <w:r w:rsidRPr="00E04721">
              <w:rPr>
                <w:sz w:val="20"/>
                <w:szCs w:val="20"/>
                <w:lang w:val="en-US"/>
              </w:rPr>
              <w:t xml:space="preserve">F2 female weight </w:t>
            </w:r>
            <w:r w:rsidR="006B2DAA">
              <w:rPr>
                <w:sz w:val="20"/>
                <w:szCs w:val="20"/>
                <w:lang w:val="en-US"/>
              </w:rPr>
              <w:t xml:space="preserve">at </w:t>
            </w:r>
            <w:r w:rsidRPr="00E04721">
              <w:rPr>
                <w:sz w:val="20"/>
                <w:szCs w:val="20"/>
                <w:lang w:val="en-US"/>
              </w:rPr>
              <w:t>30 days</w:t>
            </w:r>
          </w:p>
        </w:tc>
        <w:tc>
          <w:tcPr>
            <w:tcW w:w="0" w:type="auto"/>
          </w:tcPr>
          <w:p w14:paraId="0802A7BC" w14:textId="7ECF81BD" w:rsidR="00E377B0" w:rsidRPr="00E04721" w:rsidRDefault="00E377B0" w:rsidP="00E04721">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04721">
              <w:rPr>
                <w:sz w:val="20"/>
                <w:szCs w:val="20"/>
                <w:lang w:val="en-US"/>
              </w:rPr>
              <w:t>13.3 mg</w:t>
            </w:r>
          </w:p>
        </w:tc>
        <w:tc>
          <w:tcPr>
            <w:tcW w:w="0" w:type="auto"/>
          </w:tcPr>
          <w:p w14:paraId="68E97D5C" w14:textId="5207890E" w:rsidR="00E377B0" w:rsidRPr="00E04721" w:rsidRDefault="00E377B0" w:rsidP="00E04721">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04721">
              <w:rPr>
                <w:sz w:val="20"/>
                <w:szCs w:val="20"/>
                <w:lang w:val="en-US"/>
              </w:rPr>
              <w:t>6.6 mg</w:t>
            </w:r>
          </w:p>
        </w:tc>
        <w:tc>
          <w:tcPr>
            <w:tcW w:w="0" w:type="auto"/>
          </w:tcPr>
          <w:p w14:paraId="607B16C0" w14:textId="36090321" w:rsidR="00E377B0" w:rsidRPr="00E04721" w:rsidRDefault="00E377B0" w:rsidP="00E04721">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04721">
              <w:rPr>
                <w:sz w:val="20"/>
                <w:szCs w:val="20"/>
                <w:lang w:val="en-US"/>
              </w:rPr>
              <w:t>50% lighter (p&lt;0.001)</w:t>
            </w:r>
          </w:p>
        </w:tc>
      </w:tr>
      <w:tr w:rsidR="006B2DAA" w14:paraId="509D7FE1" w14:textId="77777777" w:rsidTr="00E047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B36F4C6" w14:textId="6091ED82" w:rsidR="00B84354" w:rsidRPr="00E04721" w:rsidRDefault="00B84354" w:rsidP="006B2DAA">
            <w:pPr>
              <w:rPr>
                <w:sz w:val="20"/>
                <w:szCs w:val="20"/>
                <w:lang w:val="en-US"/>
              </w:rPr>
            </w:pPr>
            <w:r w:rsidRPr="00E04721">
              <w:rPr>
                <w:sz w:val="20"/>
                <w:szCs w:val="20"/>
                <w:lang w:val="en-US"/>
              </w:rPr>
              <w:t xml:space="preserve">F2 male length </w:t>
            </w:r>
            <w:r w:rsidR="006B2DAA">
              <w:rPr>
                <w:sz w:val="20"/>
                <w:szCs w:val="20"/>
                <w:lang w:val="en-US"/>
              </w:rPr>
              <w:t xml:space="preserve">at </w:t>
            </w:r>
            <w:r w:rsidRPr="00E04721">
              <w:rPr>
                <w:sz w:val="20"/>
                <w:szCs w:val="20"/>
                <w:lang w:val="en-US"/>
              </w:rPr>
              <w:t>30 days</w:t>
            </w:r>
          </w:p>
        </w:tc>
        <w:tc>
          <w:tcPr>
            <w:tcW w:w="0" w:type="auto"/>
          </w:tcPr>
          <w:p w14:paraId="16592DF8" w14:textId="76D2FB6F" w:rsidR="00B84354" w:rsidRPr="00E04721" w:rsidRDefault="00B84354" w:rsidP="00E04721">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04721">
              <w:rPr>
                <w:sz w:val="20"/>
                <w:szCs w:val="20"/>
                <w:lang w:val="en-US"/>
              </w:rPr>
              <w:t>11.6 mm</w:t>
            </w:r>
          </w:p>
        </w:tc>
        <w:tc>
          <w:tcPr>
            <w:tcW w:w="0" w:type="auto"/>
          </w:tcPr>
          <w:p w14:paraId="764534FE" w14:textId="090ADEE6" w:rsidR="00B84354" w:rsidRPr="00E04721" w:rsidRDefault="00B84354" w:rsidP="00E04721">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04721">
              <w:rPr>
                <w:sz w:val="20"/>
                <w:szCs w:val="20"/>
                <w:lang w:val="en-US"/>
              </w:rPr>
              <w:t>9</w:t>
            </w:r>
            <w:r w:rsidR="006B2DAA">
              <w:rPr>
                <w:sz w:val="20"/>
                <w:szCs w:val="20"/>
                <w:lang w:val="en-US"/>
              </w:rPr>
              <w:t>.</w:t>
            </w:r>
            <w:r w:rsidRPr="00E04721">
              <w:rPr>
                <w:sz w:val="20"/>
                <w:szCs w:val="20"/>
                <w:lang w:val="en-US"/>
              </w:rPr>
              <w:t>3 mm</w:t>
            </w:r>
          </w:p>
        </w:tc>
        <w:tc>
          <w:tcPr>
            <w:tcW w:w="0" w:type="auto"/>
          </w:tcPr>
          <w:p w14:paraId="580EF36D" w14:textId="3DE9C67D" w:rsidR="00B84354" w:rsidRPr="00E04721" w:rsidRDefault="00B84354" w:rsidP="00E04721">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04721">
              <w:rPr>
                <w:sz w:val="20"/>
                <w:szCs w:val="20"/>
                <w:lang w:val="en-US"/>
              </w:rPr>
              <w:t>19.7% smaller (p&lt;</w:t>
            </w:r>
            <w:r w:rsidR="00E377B0" w:rsidRPr="00E04721">
              <w:rPr>
                <w:sz w:val="20"/>
                <w:szCs w:val="20"/>
                <w:lang w:val="en-US"/>
              </w:rPr>
              <w:t>0</w:t>
            </w:r>
            <w:r w:rsidRPr="00E04721">
              <w:rPr>
                <w:sz w:val="20"/>
                <w:szCs w:val="20"/>
                <w:lang w:val="en-US"/>
              </w:rPr>
              <w:t>.001)</w:t>
            </w:r>
          </w:p>
        </w:tc>
      </w:tr>
      <w:tr w:rsidR="00E377B0" w14:paraId="2AF87639" w14:textId="77777777" w:rsidTr="00E0472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17DB8C9" w14:textId="791963B0" w:rsidR="00E377B0" w:rsidRPr="00E04721" w:rsidRDefault="00E377B0" w:rsidP="006B2DAA">
            <w:pPr>
              <w:rPr>
                <w:sz w:val="20"/>
                <w:szCs w:val="20"/>
                <w:lang w:val="en-US"/>
              </w:rPr>
            </w:pPr>
            <w:r w:rsidRPr="00E04721">
              <w:rPr>
                <w:sz w:val="20"/>
                <w:szCs w:val="20"/>
                <w:lang w:val="en-US"/>
              </w:rPr>
              <w:t xml:space="preserve">F2 male weight </w:t>
            </w:r>
            <w:r w:rsidR="006B2DAA">
              <w:rPr>
                <w:sz w:val="20"/>
                <w:szCs w:val="20"/>
                <w:lang w:val="en-US"/>
              </w:rPr>
              <w:t xml:space="preserve">at </w:t>
            </w:r>
            <w:r w:rsidRPr="00E04721">
              <w:rPr>
                <w:sz w:val="20"/>
                <w:szCs w:val="20"/>
                <w:lang w:val="en-US"/>
              </w:rPr>
              <w:t>30 days</w:t>
            </w:r>
          </w:p>
        </w:tc>
        <w:tc>
          <w:tcPr>
            <w:tcW w:w="0" w:type="auto"/>
          </w:tcPr>
          <w:p w14:paraId="7F26DDAB" w14:textId="4CCAC379" w:rsidR="00E377B0" w:rsidRPr="00E04721" w:rsidRDefault="00E377B0" w:rsidP="00E04721">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04721">
              <w:rPr>
                <w:sz w:val="20"/>
                <w:szCs w:val="20"/>
                <w:lang w:val="en-US"/>
              </w:rPr>
              <w:t>13.3 mg</w:t>
            </w:r>
          </w:p>
        </w:tc>
        <w:tc>
          <w:tcPr>
            <w:tcW w:w="0" w:type="auto"/>
          </w:tcPr>
          <w:p w14:paraId="1112E3A2" w14:textId="19B9DA84" w:rsidR="00E377B0" w:rsidRPr="00E04721" w:rsidRDefault="00E377B0" w:rsidP="00E04721">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04721">
              <w:rPr>
                <w:sz w:val="20"/>
                <w:szCs w:val="20"/>
                <w:lang w:val="en-US"/>
              </w:rPr>
              <w:t>6.6 mg</w:t>
            </w:r>
          </w:p>
        </w:tc>
        <w:tc>
          <w:tcPr>
            <w:tcW w:w="0" w:type="auto"/>
          </w:tcPr>
          <w:p w14:paraId="1CB370BB" w14:textId="1FEFD91D" w:rsidR="00E377B0" w:rsidRPr="00E04721" w:rsidRDefault="00E377B0" w:rsidP="00E04721">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04721">
              <w:rPr>
                <w:sz w:val="20"/>
                <w:szCs w:val="20"/>
                <w:lang w:val="en-US"/>
              </w:rPr>
              <w:t>50% lighter (p&lt;0.001)</w:t>
            </w:r>
          </w:p>
        </w:tc>
      </w:tr>
      <w:tr w:rsidR="00E377B0" w14:paraId="51232D3E" w14:textId="77777777" w:rsidTr="00E047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E284626" w14:textId="5FF85AD3" w:rsidR="00E377B0" w:rsidRPr="00E04721" w:rsidRDefault="00E377B0" w:rsidP="006B2DAA">
            <w:pPr>
              <w:rPr>
                <w:sz w:val="20"/>
                <w:szCs w:val="20"/>
                <w:lang w:val="en-US"/>
              </w:rPr>
            </w:pPr>
            <w:r w:rsidRPr="00E04721">
              <w:rPr>
                <w:sz w:val="20"/>
                <w:szCs w:val="20"/>
                <w:lang w:val="en-US"/>
              </w:rPr>
              <w:t xml:space="preserve">F2 female length </w:t>
            </w:r>
            <w:r w:rsidR="006B2DAA">
              <w:rPr>
                <w:sz w:val="20"/>
                <w:szCs w:val="20"/>
                <w:lang w:val="en-US"/>
              </w:rPr>
              <w:t xml:space="preserve">at </w:t>
            </w:r>
            <w:r w:rsidRPr="00E04721">
              <w:rPr>
                <w:sz w:val="20"/>
                <w:szCs w:val="20"/>
                <w:lang w:val="en-US"/>
              </w:rPr>
              <w:t>180 days</w:t>
            </w:r>
          </w:p>
        </w:tc>
        <w:tc>
          <w:tcPr>
            <w:tcW w:w="0" w:type="auto"/>
          </w:tcPr>
          <w:p w14:paraId="6A181AAF" w14:textId="0853E517" w:rsidR="00E377B0" w:rsidRPr="00E04721" w:rsidRDefault="00E377B0" w:rsidP="00E04721">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04721">
              <w:rPr>
                <w:sz w:val="20"/>
                <w:szCs w:val="20"/>
                <w:lang w:val="en-US"/>
              </w:rPr>
              <w:t>33.6 mm</w:t>
            </w:r>
          </w:p>
        </w:tc>
        <w:tc>
          <w:tcPr>
            <w:tcW w:w="0" w:type="auto"/>
          </w:tcPr>
          <w:p w14:paraId="39C4A795" w14:textId="2A1E0B1F" w:rsidR="00E377B0" w:rsidRPr="00E04721" w:rsidRDefault="00E377B0" w:rsidP="00E04721">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04721">
              <w:rPr>
                <w:sz w:val="20"/>
                <w:szCs w:val="20"/>
                <w:lang w:val="en-US"/>
              </w:rPr>
              <w:t>31.7 mm</w:t>
            </w:r>
          </w:p>
        </w:tc>
        <w:tc>
          <w:tcPr>
            <w:tcW w:w="0" w:type="auto"/>
          </w:tcPr>
          <w:p w14:paraId="485DCA35" w14:textId="07193999" w:rsidR="00E377B0" w:rsidRPr="00E04721" w:rsidRDefault="00E377B0" w:rsidP="00E04721">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04721">
              <w:rPr>
                <w:sz w:val="20"/>
                <w:szCs w:val="20"/>
                <w:lang w:val="en-US"/>
              </w:rPr>
              <w:t>5.7% smaller (</w:t>
            </w:r>
            <w:r w:rsidR="0098193C">
              <w:rPr>
                <w:sz w:val="20"/>
                <w:szCs w:val="20"/>
                <w:lang w:val="en-US"/>
              </w:rPr>
              <w:t>p&lt;0.001</w:t>
            </w:r>
            <w:r w:rsidRPr="00E04721">
              <w:rPr>
                <w:sz w:val="20"/>
                <w:szCs w:val="20"/>
                <w:lang w:val="en-US"/>
              </w:rPr>
              <w:t>)</w:t>
            </w:r>
          </w:p>
        </w:tc>
      </w:tr>
      <w:tr w:rsidR="00E377B0" w14:paraId="26668DE7" w14:textId="77777777" w:rsidTr="00E0472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87F94C0" w14:textId="709BC6DF" w:rsidR="00E377B0" w:rsidRPr="00E04721" w:rsidRDefault="00E377B0" w:rsidP="006B2DAA">
            <w:pPr>
              <w:rPr>
                <w:sz w:val="20"/>
                <w:szCs w:val="20"/>
                <w:lang w:val="en-US"/>
              </w:rPr>
            </w:pPr>
            <w:r w:rsidRPr="00E04721">
              <w:rPr>
                <w:sz w:val="20"/>
                <w:szCs w:val="20"/>
                <w:lang w:val="en-US"/>
              </w:rPr>
              <w:t xml:space="preserve">F2 female weight </w:t>
            </w:r>
            <w:r w:rsidR="006B2DAA">
              <w:rPr>
                <w:sz w:val="20"/>
                <w:szCs w:val="20"/>
                <w:lang w:val="en-US"/>
              </w:rPr>
              <w:t xml:space="preserve">at </w:t>
            </w:r>
            <w:r w:rsidRPr="00E04721">
              <w:rPr>
                <w:sz w:val="20"/>
                <w:szCs w:val="20"/>
                <w:lang w:val="en-US"/>
              </w:rPr>
              <w:t>180 days</w:t>
            </w:r>
          </w:p>
        </w:tc>
        <w:tc>
          <w:tcPr>
            <w:tcW w:w="0" w:type="auto"/>
          </w:tcPr>
          <w:p w14:paraId="217A3177" w14:textId="46199027" w:rsidR="00E377B0" w:rsidRPr="00E04721" w:rsidRDefault="00E377B0" w:rsidP="00E04721">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04721">
              <w:rPr>
                <w:sz w:val="20"/>
                <w:szCs w:val="20"/>
                <w:lang w:val="en-US"/>
              </w:rPr>
              <w:t>337 mg</w:t>
            </w:r>
          </w:p>
        </w:tc>
        <w:tc>
          <w:tcPr>
            <w:tcW w:w="0" w:type="auto"/>
          </w:tcPr>
          <w:p w14:paraId="67C8600B" w14:textId="43F26198" w:rsidR="00E377B0" w:rsidRPr="00E04721" w:rsidRDefault="00E377B0" w:rsidP="00E04721">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04721">
              <w:rPr>
                <w:sz w:val="20"/>
                <w:szCs w:val="20"/>
                <w:lang w:val="en-US"/>
              </w:rPr>
              <w:t>317 mg</w:t>
            </w:r>
          </w:p>
        </w:tc>
        <w:tc>
          <w:tcPr>
            <w:tcW w:w="0" w:type="auto"/>
          </w:tcPr>
          <w:p w14:paraId="0D198095" w14:textId="02706341" w:rsidR="00E377B0" w:rsidRPr="00E04721" w:rsidRDefault="00E377B0" w:rsidP="00E04721">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04721">
              <w:rPr>
                <w:sz w:val="20"/>
                <w:szCs w:val="20"/>
                <w:lang w:val="en-US"/>
              </w:rPr>
              <w:t>6% lighter (insignificant)</w:t>
            </w:r>
          </w:p>
        </w:tc>
      </w:tr>
      <w:tr w:rsidR="00E377B0" w14:paraId="2B4E930F" w14:textId="77777777" w:rsidTr="00E047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EE34831" w14:textId="6D468ACF" w:rsidR="00E377B0" w:rsidRPr="00E04721" w:rsidRDefault="00E377B0" w:rsidP="006B2DAA">
            <w:pPr>
              <w:rPr>
                <w:sz w:val="20"/>
                <w:szCs w:val="20"/>
                <w:lang w:val="en-US"/>
              </w:rPr>
            </w:pPr>
            <w:r w:rsidRPr="00E04721">
              <w:rPr>
                <w:sz w:val="20"/>
                <w:szCs w:val="20"/>
                <w:lang w:val="en-US"/>
              </w:rPr>
              <w:t xml:space="preserve">F2 male length </w:t>
            </w:r>
            <w:r w:rsidR="007808C3">
              <w:rPr>
                <w:sz w:val="20"/>
                <w:szCs w:val="20"/>
                <w:lang w:val="en-US"/>
              </w:rPr>
              <w:t>at</w:t>
            </w:r>
            <w:r w:rsidR="007808C3" w:rsidRPr="009E134B">
              <w:rPr>
                <w:sz w:val="20"/>
                <w:szCs w:val="20"/>
                <w:lang w:val="en-US"/>
              </w:rPr>
              <w:t xml:space="preserve"> </w:t>
            </w:r>
            <w:r w:rsidRPr="00E04721">
              <w:rPr>
                <w:sz w:val="20"/>
                <w:szCs w:val="20"/>
                <w:lang w:val="en-US"/>
              </w:rPr>
              <w:t>180 days</w:t>
            </w:r>
          </w:p>
        </w:tc>
        <w:tc>
          <w:tcPr>
            <w:tcW w:w="0" w:type="auto"/>
          </w:tcPr>
          <w:p w14:paraId="70558219" w14:textId="7A01FE8C" w:rsidR="00E377B0" w:rsidRPr="00E04721" w:rsidRDefault="00E377B0" w:rsidP="00E04721">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04721">
              <w:rPr>
                <w:sz w:val="20"/>
                <w:szCs w:val="20"/>
                <w:lang w:val="en-US"/>
              </w:rPr>
              <w:t>30 mm</w:t>
            </w:r>
          </w:p>
        </w:tc>
        <w:tc>
          <w:tcPr>
            <w:tcW w:w="0" w:type="auto"/>
          </w:tcPr>
          <w:p w14:paraId="1B6CF47E" w14:textId="75EDA6CF" w:rsidR="00E377B0" w:rsidRPr="00E04721" w:rsidRDefault="00E377B0" w:rsidP="00E04721">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04721">
              <w:rPr>
                <w:sz w:val="20"/>
                <w:szCs w:val="20"/>
                <w:lang w:val="en-US"/>
              </w:rPr>
              <w:t>32 mm</w:t>
            </w:r>
          </w:p>
        </w:tc>
        <w:tc>
          <w:tcPr>
            <w:tcW w:w="0" w:type="auto"/>
          </w:tcPr>
          <w:p w14:paraId="3DEC3F8B" w14:textId="3CB5C0C0" w:rsidR="00E377B0" w:rsidRPr="00E04721" w:rsidRDefault="00E377B0" w:rsidP="00E04721">
            <w:pPr>
              <w:spacing w:before="6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04721">
              <w:rPr>
                <w:sz w:val="20"/>
                <w:szCs w:val="20"/>
                <w:lang w:val="en-US"/>
              </w:rPr>
              <w:t>6.6% larger (</w:t>
            </w:r>
            <w:r w:rsidR="0098193C">
              <w:rPr>
                <w:sz w:val="20"/>
                <w:szCs w:val="20"/>
                <w:lang w:val="en-US"/>
              </w:rPr>
              <w:t>in</w:t>
            </w:r>
            <w:r w:rsidRPr="00E04721">
              <w:rPr>
                <w:sz w:val="20"/>
                <w:szCs w:val="20"/>
                <w:lang w:val="en-US"/>
              </w:rPr>
              <w:t>significant)</w:t>
            </w:r>
          </w:p>
        </w:tc>
      </w:tr>
      <w:tr w:rsidR="00E377B0" w14:paraId="23C4C4B1" w14:textId="77777777" w:rsidTr="00E04721">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F9725F5" w14:textId="63ADD3AA" w:rsidR="00E377B0" w:rsidRPr="00E04721" w:rsidRDefault="006B2DAA" w:rsidP="006B2DAA">
            <w:pPr>
              <w:spacing w:before="60"/>
              <w:rPr>
                <w:sz w:val="20"/>
                <w:szCs w:val="20"/>
                <w:lang w:val="en-US"/>
              </w:rPr>
            </w:pPr>
            <w:r w:rsidRPr="009E134B">
              <w:rPr>
                <w:sz w:val="20"/>
                <w:szCs w:val="20"/>
                <w:lang w:val="en-US"/>
              </w:rPr>
              <w:t xml:space="preserve">F2 male </w:t>
            </w:r>
            <w:r>
              <w:rPr>
                <w:sz w:val="20"/>
                <w:szCs w:val="20"/>
                <w:lang w:val="en-US"/>
              </w:rPr>
              <w:t>weight</w:t>
            </w:r>
            <w:r w:rsidRPr="009E134B">
              <w:rPr>
                <w:sz w:val="20"/>
                <w:szCs w:val="20"/>
                <w:lang w:val="en-US"/>
              </w:rPr>
              <w:t xml:space="preserve"> </w:t>
            </w:r>
            <w:r w:rsidR="007808C3">
              <w:rPr>
                <w:sz w:val="20"/>
                <w:szCs w:val="20"/>
                <w:lang w:val="en-US"/>
              </w:rPr>
              <w:t>at</w:t>
            </w:r>
            <w:r w:rsidR="007808C3" w:rsidRPr="009E134B">
              <w:rPr>
                <w:sz w:val="20"/>
                <w:szCs w:val="20"/>
                <w:lang w:val="en-US"/>
              </w:rPr>
              <w:t xml:space="preserve"> </w:t>
            </w:r>
            <w:r w:rsidRPr="009E134B">
              <w:rPr>
                <w:sz w:val="20"/>
                <w:szCs w:val="20"/>
                <w:lang w:val="en-US"/>
              </w:rPr>
              <w:t>180</w:t>
            </w:r>
            <w:r>
              <w:rPr>
                <w:sz w:val="20"/>
                <w:szCs w:val="20"/>
                <w:lang w:val="en-US"/>
              </w:rPr>
              <w:t xml:space="preserve"> </w:t>
            </w:r>
            <w:r w:rsidRPr="009E134B">
              <w:rPr>
                <w:sz w:val="20"/>
                <w:szCs w:val="20"/>
                <w:lang w:val="en-US"/>
              </w:rPr>
              <w:t>days</w:t>
            </w:r>
          </w:p>
        </w:tc>
        <w:tc>
          <w:tcPr>
            <w:tcW w:w="0" w:type="auto"/>
          </w:tcPr>
          <w:p w14:paraId="3497D869" w14:textId="3915DB3A" w:rsidR="00E377B0" w:rsidRPr="00E04721" w:rsidRDefault="00E377B0" w:rsidP="00E04721">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04721">
              <w:rPr>
                <w:sz w:val="20"/>
                <w:szCs w:val="20"/>
                <w:lang w:val="en-US"/>
              </w:rPr>
              <w:t>300</w:t>
            </w:r>
            <w:r w:rsidR="006B2DAA">
              <w:rPr>
                <w:sz w:val="20"/>
                <w:szCs w:val="20"/>
                <w:lang w:val="en-US"/>
              </w:rPr>
              <w:t> mg</w:t>
            </w:r>
          </w:p>
        </w:tc>
        <w:tc>
          <w:tcPr>
            <w:tcW w:w="0" w:type="auto"/>
          </w:tcPr>
          <w:p w14:paraId="4055F4A8" w14:textId="0BD9716A" w:rsidR="00E377B0" w:rsidRPr="00E04721" w:rsidRDefault="00E377B0" w:rsidP="00E04721">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04721">
              <w:rPr>
                <w:sz w:val="20"/>
                <w:szCs w:val="20"/>
                <w:lang w:val="en-US"/>
              </w:rPr>
              <w:t>323 mg</w:t>
            </w:r>
          </w:p>
        </w:tc>
        <w:tc>
          <w:tcPr>
            <w:tcW w:w="0" w:type="auto"/>
          </w:tcPr>
          <w:p w14:paraId="3C97B9EE" w14:textId="3FF7F1B6" w:rsidR="00E377B0" w:rsidRPr="00E04721" w:rsidRDefault="006B2DAA" w:rsidP="00E04721">
            <w:pPr>
              <w:spacing w:before="6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04721">
              <w:rPr>
                <w:sz w:val="20"/>
                <w:szCs w:val="20"/>
                <w:lang w:val="en-US"/>
              </w:rPr>
              <w:t>7.7% heavier (</w:t>
            </w:r>
            <w:r w:rsidR="0098193C">
              <w:rPr>
                <w:sz w:val="20"/>
                <w:szCs w:val="20"/>
                <w:lang w:val="en-US"/>
              </w:rPr>
              <w:t>in</w:t>
            </w:r>
            <w:r w:rsidRPr="00E04721">
              <w:rPr>
                <w:sz w:val="20"/>
                <w:szCs w:val="20"/>
                <w:lang w:val="en-US"/>
              </w:rPr>
              <w:t>significant)</w:t>
            </w:r>
          </w:p>
        </w:tc>
      </w:tr>
    </w:tbl>
    <w:p w14:paraId="58FBA060" w14:textId="77777777" w:rsidR="00B84354" w:rsidRDefault="00B84354" w:rsidP="00D930E3">
      <w:pPr>
        <w:ind w:left="720"/>
        <w:rPr>
          <w:lang w:val="en-US"/>
        </w:rPr>
      </w:pPr>
    </w:p>
    <w:p w14:paraId="0C4A417D" w14:textId="29F4C922" w:rsidR="00E317FF" w:rsidRDefault="000D6A4C" w:rsidP="00BB6861">
      <w:pPr>
        <w:rPr>
          <w:lang w:val="en-US"/>
        </w:rPr>
      </w:pPr>
      <w:r>
        <w:rPr>
          <w:lang w:val="en-US"/>
        </w:rPr>
        <w:t xml:space="preserve">The fact that such highly significant statistical results were obtained when the study only included two replicates, strongly suggests that each individual fish was used as a replicate. </w:t>
      </w:r>
      <w:r w:rsidR="00BB6861">
        <w:rPr>
          <w:lang w:val="en-US"/>
        </w:rPr>
        <w:t xml:space="preserve">Such highly significant results would be unlikely if the statistical analyses had used only the two replicates. </w:t>
      </w:r>
      <w:r w:rsidR="00BB6861" w:rsidRPr="4301F19E">
        <w:rPr>
          <w:lang w:val="en-US"/>
        </w:rPr>
        <w:t>The loss of one of the replicates in the crucial F2 treatments compounds concerns over the validity of the statistics</w:t>
      </w:r>
      <w:r w:rsidR="00BB6861">
        <w:rPr>
          <w:lang w:val="en-US"/>
        </w:rPr>
        <w:t xml:space="preserve">. Ignoring </w:t>
      </w:r>
      <w:r>
        <w:rPr>
          <w:lang w:val="en-US"/>
        </w:rPr>
        <w:t xml:space="preserve">the apparent pseudo-replication, the statistics are persuasive. </w:t>
      </w:r>
      <w:r w:rsidR="00E779DB" w:rsidRPr="4301F19E">
        <w:rPr>
          <w:lang w:val="en-US"/>
        </w:rPr>
        <w:t xml:space="preserve">Nevertheless, the </w:t>
      </w:r>
      <w:r w:rsidR="00E779DB" w:rsidRPr="4301F19E">
        <w:rPr>
          <w:lang w:val="en-US"/>
        </w:rPr>
        <w:lastRenderedPageBreak/>
        <w:t>inconsistency in results over time and with increasing exposure concentrations does raise concerns about the validity of the data,</w:t>
      </w:r>
      <w:r w:rsidR="00661AC3" w:rsidRPr="4301F19E">
        <w:rPr>
          <w:lang w:val="en-US"/>
        </w:rPr>
        <w:t xml:space="preserve"> </w:t>
      </w:r>
      <w:r w:rsidR="00FA3B27">
        <w:rPr>
          <w:lang w:val="en-US"/>
        </w:rPr>
        <w:t>if not</w:t>
      </w:r>
      <w:r w:rsidR="00E779DB" w:rsidRPr="4301F19E">
        <w:rPr>
          <w:lang w:val="en-US"/>
        </w:rPr>
        <w:t xml:space="preserve"> the statistics.</w:t>
      </w:r>
      <w:r w:rsidR="00BB6861">
        <w:rPr>
          <w:lang w:val="en-US"/>
        </w:rPr>
        <w:t xml:space="preserve"> The IRC are of </w:t>
      </w:r>
      <w:r w:rsidR="00BE292C">
        <w:rPr>
          <w:lang w:val="en-US"/>
        </w:rPr>
        <w:t xml:space="preserve">the </w:t>
      </w:r>
      <w:r w:rsidR="00BB6861">
        <w:rPr>
          <w:lang w:val="en-US"/>
        </w:rPr>
        <w:t xml:space="preserve">opinion </w:t>
      </w:r>
      <w:r w:rsidR="00BE292C">
        <w:rPr>
          <w:lang w:val="en-US"/>
        </w:rPr>
        <w:t>the use of a more conventional statistical approach would be unlikely to support the significant results presented in Keiter et al. (2012) and the apparent lack of a monotonic concentration-response relationship reduces the utility of these data for the derivation of DGVs.</w:t>
      </w:r>
      <w:r w:rsidR="00E779DB" w:rsidRPr="4301F19E">
        <w:rPr>
          <w:lang w:val="en-US"/>
        </w:rPr>
        <w:t xml:space="preserve"> </w:t>
      </w:r>
    </w:p>
    <w:p w14:paraId="11049C32" w14:textId="52D42759" w:rsidR="00E779DB" w:rsidRPr="00E779DB" w:rsidRDefault="4505A279" w:rsidP="00E779DB">
      <w:pPr>
        <w:rPr>
          <w:lang w:val="en-US"/>
        </w:rPr>
      </w:pPr>
      <w:r w:rsidRPr="2C4E3B28">
        <w:rPr>
          <w:lang w:val="en-US"/>
        </w:rPr>
        <w:t xml:space="preserve">The fact that the exposure concentrations differed by more than a factor of ten was discounted by the </w:t>
      </w:r>
      <w:r w:rsidR="00CB1896" w:rsidRPr="2C4E3B28">
        <w:rPr>
          <w:lang w:val="en-US"/>
        </w:rPr>
        <w:t xml:space="preserve">DGV </w:t>
      </w:r>
      <w:r w:rsidRPr="2C4E3B28">
        <w:rPr>
          <w:lang w:val="en-US"/>
        </w:rPr>
        <w:t xml:space="preserve">authors because the study represented the lowest toxicity result for the species, and </w:t>
      </w:r>
      <w:r w:rsidR="1FCB5A06" w:rsidRPr="2C4E3B28">
        <w:rPr>
          <w:lang w:val="en-US"/>
        </w:rPr>
        <w:t>therefore</w:t>
      </w:r>
      <w:r w:rsidR="7281B25F" w:rsidRPr="2C4E3B28">
        <w:rPr>
          <w:lang w:val="en-US"/>
        </w:rPr>
        <w:t>,</w:t>
      </w:r>
      <w:r w:rsidR="1FCB5A06" w:rsidRPr="2C4E3B28">
        <w:rPr>
          <w:lang w:val="en-US"/>
        </w:rPr>
        <w:t xml:space="preserve"> adoption of the Keiter et</w:t>
      </w:r>
      <w:r w:rsidR="21972494" w:rsidRPr="2C4E3B28">
        <w:rPr>
          <w:lang w:val="en-US"/>
        </w:rPr>
        <w:t xml:space="preserve"> al. (2012) LOEC would</w:t>
      </w:r>
      <w:r w:rsidRPr="2C4E3B28">
        <w:rPr>
          <w:lang w:val="en-US"/>
        </w:rPr>
        <w:t xml:space="preserve"> </w:t>
      </w:r>
      <w:r w:rsidR="6DC9EBC6" w:rsidRPr="2C4E3B28">
        <w:rPr>
          <w:lang w:val="en-US"/>
        </w:rPr>
        <w:t>ensure</w:t>
      </w:r>
      <w:r w:rsidRPr="2C4E3B28">
        <w:rPr>
          <w:lang w:val="en-US"/>
        </w:rPr>
        <w:t xml:space="preserve"> that the </w:t>
      </w:r>
      <w:r w:rsidR="00D37CCB">
        <w:rPr>
          <w:lang w:val="en-US"/>
        </w:rPr>
        <w:t>DGVs</w:t>
      </w:r>
      <w:r w:rsidR="00D37CCB" w:rsidRPr="2C4E3B28">
        <w:rPr>
          <w:lang w:val="en-US"/>
        </w:rPr>
        <w:t xml:space="preserve"> </w:t>
      </w:r>
      <w:r w:rsidRPr="2C4E3B28">
        <w:rPr>
          <w:lang w:val="en-US"/>
        </w:rPr>
        <w:t>were not under-protective. Again, the highly statistically significant result</w:t>
      </w:r>
      <w:r w:rsidR="04C348F9" w:rsidRPr="2C4E3B28">
        <w:rPr>
          <w:lang w:val="en-US"/>
        </w:rPr>
        <w:t>s</w:t>
      </w:r>
      <w:r w:rsidRPr="2C4E3B28">
        <w:rPr>
          <w:lang w:val="en-US"/>
        </w:rPr>
        <w:t xml:space="preserve"> (mostly P&lt;0.001) for the species would have provided some confidence in the study results. However, the </w:t>
      </w:r>
      <w:r w:rsidR="4068181E" w:rsidRPr="2C4E3B28">
        <w:rPr>
          <w:lang w:val="en-US"/>
        </w:rPr>
        <w:t>IRC</w:t>
      </w:r>
      <w:r w:rsidRPr="2C4E3B28">
        <w:rPr>
          <w:lang w:val="en-US"/>
        </w:rPr>
        <w:t xml:space="preserve"> is of the opinion that the paper does not provide adequate detail on how and</w:t>
      </w:r>
      <w:r w:rsidR="00290EAF" w:rsidRPr="2C4E3B28">
        <w:rPr>
          <w:lang w:val="en-US"/>
        </w:rPr>
        <w:t xml:space="preserve"> </w:t>
      </w:r>
      <w:r w:rsidRPr="2C4E3B28">
        <w:rPr>
          <w:lang w:val="en-US"/>
        </w:rPr>
        <w:t>which statistics were applied</w:t>
      </w:r>
      <w:r w:rsidR="00CB1896" w:rsidRPr="2C4E3B28">
        <w:rPr>
          <w:lang w:val="en-US"/>
        </w:rPr>
        <w:t>,</w:t>
      </w:r>
      <w:r w:rsidRPr="2C4E3B28">
        <w:rPr>
          <w:lang w:val="en-US"/>
        </w:rPr>
        <w:t xml:space="preserve"> and </w:t>
      </w:r>
      <w:r w:rsidR="00CB1896" w:rsidRPr="2C4E3B28">
        <w:rPr>
          <w:lang w:val="en-US"/>
        </w:rPr>
        <w:t xml:space="preserve">that it </w:t>
      </w:r>
      <w:r w:rsidRPr="2C4E3B28">
        <w:rPr>
          <w:lang w:val="en-US"/>
        </w:rPr>
        <w:t xml:space="preserve">should be treated with caution. </w:t>
      </w:r>
    </w:p>
    <w:p w14:paraId="78E8F4DD" w14:textId="3C815B35" w:rsidR="00E779DB" w:rsidRPr="00E779DB" w:rsidRDefault="00E779DB" w:rsidP="00E779DB">
      <w:r w:rsidRPr="44F17EDD">
        <w:rPr>
          <w:lang w:val="en-US"/>
        </w:rPr>
        <w:t xml:space="preserve">Overall, the </w:t>
      </w:r>
      <w:r w:rsidR="004F5713">
        <w:rPr>
          <w:lang w:val="en-US"/>
        </w:rPr>
        <w:t>IRC</w:t>
      </w:r>
      <w:r w:rsidRPr="44F17EDD">
        <w:rPr>
          <w:lang w:val="en-US"/>
        </w:rPr>
        <w:t xml:space="preserve"> agreed that poor replication, the validity of the statistics applied and the poor spacing between exposure concentrations, are valid cause for the concerns raised in the public consultation process; concerns that are</w:t>
      </w:r>
      <w:r>
        <w:t xml:space="preserve"> supported by other reviews (US EPA 2022, Pandelides et al. 2023).</w:t>
      </w:r>
      <w:r w:rsidRPr="44F17EDD">
        <w:rPr>
          <w:lang w:val="en-US"/>
        </w:rPr>
        <w:t xml:space="preserve"> The </w:t>
      </w:r>
      <w:r>
        <w:t>SERDP study (Gust et al. 2023)</w:t>
      </w:r>
      <w:r w:rsidRPr="44F17EDD">
        <w:rPr>
          <w:lang w:val="en-US"/>
        </w:rPr>
        <w:t xml:space="preserve"> </w:t>
      </w:r>
      <w:r>
        <w:t>was specifically designed to verify the statistically significant growth effect results reported by Keiter et al. (2012) at 0.6 µg/L (nominal)</w:t>
      </w:r>
      <w:r w:rsidR="00E02943">
        <w:t>. However</w:t>
      </w:r>
      <w:r w:rsidR="00B7055F">
        <w:t xml:space="preserve">, </w:t>
      </w:r>
      <w:r>
        <w:t>the results of Gust et al. (2023) were unable to confirm any toxicity at this low concentration, but rather, confirmed multiple other studies that indicated measurable impacts on survival and growth at much higher exposure concentrations. As other, more reliable data are available</w:t>
      </w:r>
      <w:r w:rsidR="00555CD5">
        <w:t xml:space="preserve"> (i.e. from studies better designed for use in DGV derivation)</w:t>
      </w:r>
      <w:r>
        <w:t>, including Gust et al. (2023)</w:t>
      </w:r>
      <w:r w:rsidR="00124CCF">
        <w:t>,</w:t>
      </w:r>
      <w:r w:rsidR="00BB59A6">
        <w:t xml:space="preserve"> and as reviewed by Pandelides et al</w:t>
      </w:r>
      <w:r w:rsidR="00290EAF">
        <w:t>.</w:t>
      </w:r>
      <w:r w:rsidR="00BB59A6">
        <w:t xml:space="preserve"> (2023)</w:t>
      </w:r>
      <w:r w:rsidR="00124CCF">
        <w:t>,</w:t>
      </w:r>
      <w:r>
        <w:t xml:space="preserve"> the </w:t>
      </w:r>
      <w:r w:rsidR="004F5713">
        <w:t>IRC</w:t>
      </w:r>
      <w:r>
        <w:t xml:space="preserve"> recommends that the Keiter et al. (2012) data not be included in the PFOS SSD</w:t>
      </w:r>
      <w:r w:rsidR="008C6948">
        <w:t xml:space="preserve"> and that another toxicity value for </w:t>
      </w:r>
      <w:r w:rsidR="008C6948" w:rsidRPr="008C6948">
        <w:rPr>
          <w:i/>
          <w:iCs/>
        </w:rPr>
        <w:t>D. rerio</w:t>
      </w:r>
      <w:r w:rsidR="008C6948">
        <w:t xml:space="preserve"> is used instead (see Section </w:t>
      </w:r>
      <w:r w:rsidR="00063BE4">
        <w:t>2.2.4</w:t>
      </w:r>
      <w:r w:rsidR="008C6948">
        <w:t>).</w:t>
      </w:r>
      <w:r w:rsidR="00555CD5">
        <w:t xml:space="preserve"> Other </w:t>
      </w:r>
      <w:r w:rsidR="00555CD5" w:rsidRPr="00907F2C">
        <w:rPr>
          <w:i/>
          <w:iCs/>
        </w:rPr>
        <w:t>D. rerio</w:t>
      </w:r>
      <w:r w:rsidR="00555CD5">
        <w:t xml:space="preserve"> data will include those published in Gust et al. (2023), as these data have now undergone peer review</w:t>
      </w:r>
      <w:r w:rsidR="00240E1C">
        <w:t xml:space="preserve">. Selection of a different toxicity value for </w:t>
      </w:r>
      <w:r w:rsidR="00240E1C" w:rsidRPr="008B76D7">
        <w:rPr>
          <w:i/>
          <w:iCs/>
        </w:rPr>
        <w:t>D. rerio</w:t>
      </w:r>
      <w:r w:rsidR="00A35C44" w:rsidRPr="00F617F1">
        <w:t xml:space="preserve"> will necessitate recalculation of the PFOS DGV</w:t>
      </w:r>
      <w:r w:rsidR="00A35C44">
        <w:t>.</w:t>
      </w:r>
    </w:p>
    <w:p w14:paraId="01417BA9" w14:textId="0495151D" w:rsidR="44F17EDD" w:rsidRDefault="44F17EDD" w:rsidP="44F17EDD"/>
    <w:p w14:paraId="0D0754DD" w14:textId="4F47A020" w:rsidR="000E29E4" w:rsidRDefault="4FBDE5AB" w:rsidP="2C4E3B28">
      <w:pPr>
        <w:pStyle w:val="Heading3"/>
        <w:spacing w:after="240"/>
        <w:rPr>
          <w:rStyle w:val="Heading3Char"/>
          <w:rFonts w:eastAsiaTheme="minorEastAsia"/>
          <w:b/>
          <w:bCs/>
        </w:rPr>
      </w:pPr>
      <w:bookmarkStart w:id="11" w:name="_Toc166677217"/>
      <w:r w:rsidRPr="2C4E3B28">
        <w:rPr>
          <w:rStyle w:val="Heading3Char"/>
          <w:rFonts w:eastAsiaTheme="minorEastAsia"/>
          <w:b/>
          <w:bCs/>
        </w:rPr>
        <w:t>Concerns over the use of the large number of data</w:t>
      </w:r>
      <w:r w:rsidR="007E5CF2" w:rsidRPr="2C4E3B28">
        <w:rPr>
          <w:rStyle w:val="Heading3Char"/>
          <w:rFonts w:eastAsiaTheme="minorEastAsia"/>
          <w:b/>
          <w:bCs/>
        </w:rPr>
        <w:t xml:space="preserve"> </w:t>
      </w:r>
      <w:r w:rsidRPr="2C4E3B28">
        <w:rPr>
          <w:rStyle w:val="Heading3Char"/>
          <w:rFonts w:eastAsiaTheme="minorEastAsia"/>
          <w:b/>
          <w:bCs/>
        </w:rPr>
        <w:t xml:space="preserve">selection decisions that deviated from </w:t>
      </w:r>
      <w:r w:rsidR="625323A8" w:rsidRPr="2C4E3B28">
        <w:rPr>
          <w:rStyle w:val="Heading3Char"/>
          <w:rFonts w:eastAsiaTheme="minorEastAsia"/>
          <w:b/>
          <w:bCs/>
        </w:rPr>
        <w:t xml:space="preserve">the </w:t>
      </w:r>
      <w:r w:rsidRPr="2C4E3B28">
        <w:rPr>
          <w:rStyle w:val="Heading3Char"/>
          <w:rFonts w:eastAsiaTheme="minorEastAsia"/>
          <w:b/>
          <w:bCs/>
        </w:rPr>
        <w:t>Warne et al.</w:t>
      </w:r>
      <w:r>
        <w:t xml:space="preserve"> (</w:t>
      </w:r>
      <w:r w:rsidRPr="2C4E3B28">
        <w:rPr>
          <w:rStyle w:val="Heading3Char"/>
          <w:rFonts w:eastAsiaTheme="minorEastAsia"/>
          <w:b/>
          <w:bCs/>
        </w:rPr>
        <w:t>2018) DGV derivation method</w:t>
      </w:r>
      <w:bookmarkEnd w:id="11"/>
    </w:p>
    <w:p w14:paraId="50DD9549" w14:textId="52386E72" w:rsidR="55B22995" w:rsidRPr="00F617F1" w:rsidRDefault="20FF6A8E" w:rsidP="00F617F1">
      <w:pPr>
        <w:spacing w:before="240"/>
      </w:pPr>
      <w:r w:rsidRPr="00F617F1">
        <w:t>Inclusion or exclusion of specific data in the PFOS SSD is based on best professional judgement</w:t>
      </w:r>
      <w:r w:rsidR="008C6948">
        <w:t xml:space="preserve"> (</w:t>
      </w:r>
      <w:r w:rsidR="295562F6" w:rsidRPr="00F617F1">
        <w:t>i.e. t</w:t>
      </w:r>
      <w:r w:rsidRPr="00F617F1">
        <w:t>here is no corr</w:t>
      </w:r>
      <w:r w:rsidR="5CB29279" w:rsidRPr="00F617F1">
        <w:t xml:space="preserve">ect or incorrect </w:t>
      </w:r>
      <w:r w:rsidR="78A3BDE1" w:rsidRPr="00F617F1">
        <w:t>approach</w:t>
      </w:r>
      <w:r w:rsidR="008C6948">
        <w:t>)</w:t>
      </w:r>
      <w:r w:rsidR="7E62E4A1" w:rsidRPr="00F617F1">
        <w:t xml:space="preserve">.  </w:t>
      </w:r>
      <w:r w:rsidR="3637FFD3" w:rsidRPr="00F617F1">
        <w:t>For this report, t</w:t>
      </w:r>
      <w:r w:rsidR="271C412D" w:rsidRPr="00F617F1">
        <w:t xml:space="preserve">he </w:t>
      </w:r>
      <w:r w:rsidR="004F5713">
        <w:t>IRC</w:t>
      </w:r>
      <w:r w:rsidR="271C412D" w:rsidRPr="00F617F1">
        <w:t xml:space="preserve"> review</w:t>
      </w:r>
      <w:r w:rsidR="426D83F1" w:rsidRPr="00F617F1">
        <w:t xml:space="preserve">ed </w:t>
      </w:r>
      <w:r w:rsidR="212FBF05" w:rsidRPr="00F617F1">
        <w:t xml:space="preserve">data in </w:t>
      </w:r>
      <w:r w:rsidR="426D83F1" w:rsidRPr="00F617F1">
        <w:t xml:space="preserve">each individual journal paper </w:t>
      </w:r>
      <w:r w:rsidR="49DBC6E2" w:rsidRPr="00F617F1">
        <w:t>where</w:t>
      </w:r>
      <w:r w:rsidR="681DB71C" w:rsidRPr="00F617F1">
        <w:t xml:space="preserve"> public submission responses questioned</w:t>
      </w:r>
      <w:r w:rsidR="13544754" w:rsidRPr="00F617F1">
        <w:t xml:space="preserve"> </w:t>
      </w:r>
      <w:r w:rsidR="4CAC4029" w:rsidRPr="00F617F1">
        <w:t xml:space="preserve">the </w:t>
      </w:r>
      <w:r w:rsidR="5405D141" w:rsidRPr="00F617F1">
        <w:t xml:space="preserve">data </w:t>
      </w:r>
      <w:r w:rsidR="4CAC4029" w:rsidRPr="00F617F1">
        <w:t xml:space="preserve">decisions </w:t>
      </w:r>
      <w:r w:rsidR="426D83F1" w:rsidRPr="00F617F1">
        <w:t>made</w:t>
      </w:r>
      <w:r w:rsidR="50C748FC" w:rsidRPr="00F617F1">
        <w:t xml:space="preserve"> by the </w:t>
      </w:r>
      <w:r w:rsidR="008C6948">
        <w:t>DGV</w:t>
      </w:r>
      <w:r w:rsidR="50C748FC" w:rsidRPr="00F617F1">
        <w:t xml:space="preserve"> authors</w:t>
      </w:r>
      <w:r w:rsidR="1729FEF9" w:rsidRPr="00F617F1">
        <w:t>.</w:t>
      </w:r>
      <w:r w:rsidR="368DB833" w:rsidRPr="00F617F1">
        <w:t xml:space="preserve">  The </w:t>
      </w:r>
      <w:r w:rsidR="004F5713">
        <w:t>IRC</w:t>
      </w:r>
      <w:r w:rsidR="368DB833" w:rsidRPr="00F617F1">
        <w:t xml:space="preserve"> reached consensus using best professional judgement and has recommended resolution</w:t>
      </w:r>
      <w:r w:rsidR="09E0FDF8" w:rsidRPr="00F617F1">
        <w:t>s</w:t>
      </w:r>
      <w:r w:rsidR="368DB833" w:rsidRPr="00F617F1">
        <w:t xml:space="preserve"> as below.  T</w:t>
      </w:r>
      <w:r w:rsidR="60C24F46" w:rsidRPr="00F617F1">
        <w:t>his</w:t>
      </w:r>
      <w:r w:rsidR="368DB833" w:rsidRPr="00F617F1">
        <w:t xml:space="preserve"> will necessitate fol</w:t>
      </w:r>
      <w:r w:rsidR="05C48C83" w:rsidRPr="00F617F1">
        <w:t>l</w:t>
      </w:r>
      <w:r w:rsidR="368DB833" w:rsidRPr="00F617F1">
        <w:t>ow up a</w:t>
      </w:r>
      <w:r w:rsidR="4F2CAAA0" w:rsidRPr="00F617F1">
        <w:t>nd recalculation of the PFOS DGV</w:t>
      </w:r>
      <w:r w:rsidR="008C6948">
        <w:t>s</w:t>
      </w:r>
      <w:r w:rsidR="4F2CAAA0" w:rsidRPr="00F617F1">
        <w:t>.</w:t>
      </w:r>
    </w:p>
    <w:p w14:paraId="341924F0" w14:textId="2A00D534" w:rsidR="000E29E4" w:rsidRPr="00117B41" w:rsidRDefault="03F532BA" w:rsidP="001E7541">
      <w:pPr>
        <w:pStyle w:val="Heading4"/>
        <w:rPr>
          <w:lang w:val="en-US"/>
        </w:rPr>
      </w:pPr>
      <w:r w:rsidRPr="001E7541">
        <w:t>Data</w:t>
      </w:r>
      <w:r w:rsidRPr="00117B41">
        <w:rPr>
          <w:lang w:val="en-US"/>
        </w:rPr>
        <w:t xml:space="preserve"> </w:t>
      </w:r>
      <w:r w:rsidRPr="006478ED">
        <w:t>from</w:t>
      </w:r>
      <w:r w:rsidRPr="00117B41">
        <w:rPr>
          <w:lang w:val="en-US"/>
        </w:rPr>
        <w:t xml:space="preserve"> tests where test concentrations differed by 10</w:t>
      </w:r>
      <w:r w:rsidR="58FAB6D6" w:rsidRPr="00117B41">
        <w:rPr>
          <w:lang w:val="en-US"/>
        </w:rPr>
        <w:t>-</w:t>
      </w:r>
      <w:r w:rsidRPr="00117B41">
        <w:rPr>
          <w:lang w:val="en-US"/>
        </w:rPr>
        <w:t>fold</w:t>
      </w:r>
    </w:p>
    <w:p w14:paraId="2DF6D5C5" w14:textId="6F5816E6" w:rsidR="000E29E4" w:rsidRPr="0008244D" w:rsidRDefault="741C43A2" w:rsidP="00001130">
      <w:pPr>
        <w:spacing w:before="240"/>
        <w:rPr>
          <w:lang w:val="en-US"/>
        </w:rPr>
      </w:pPr>
      <w:r w:rsidRPr="6E2F1E39">
        <w:rPr>
          <w:lang w:val="en-US"/>
        </w:rPr>
        <w:t xml:space="preserve"> One submission</w:t>
      </w:r>
      <w:r w:rsidR="4FBDE5AB" w:rsidRPr="6E2F1E39">
        <w:rPr>
          <w:lang w:val="en-US"/>
        </w:rPr>
        <w:t xml:space="preserve"> questioned the inclusion of data for 8 species in the SSD from studies with at least a 10</w:t>
      </w:r>
      <w:r w:rsidR="6D13E7E2" w:rsidRPr="6E2F1E39">
        <w:rPr>
          <w:lang w:val="en-US"/>
        </w:rPr>
        <w:t>-</w:t>
      </w:r>
      <w:r w:rsidR="4FBDE5AB" w:rsidRPr="6E2F1E39">
        <w:rPr>
          <w:lang w:val="en-US"/>
        </w:rPr>
        <w:t xml:space="preserve">fold increase between test concentrations.  The </w:t>
      </w:r>
      <w:r w:rsidR="004F5713" w:rsidRPr="6E2F1E39">
        <w:rPr>
          <w:lang w:val="en-US"/>
        </w:rPr>
        <w:t>IRC</w:t>
      </w:r>
      <w:r w:rsidR="4FBDE5AB" w:rsidRPr="6E2F1E39">
        <w:rPr>
          <w:lang w:val="en-US"/>
        </w:rPr>
        <w:t xml:space="preserve"> carefully reviewed each of these studies and has recommended the following inclusions and exclusions:</w:t>
      </w:r>
    </w:p>
    <w:p w14:paraId="0F21C5E7" w14:textId="12AAEB41" w:rsidR="000E29E4" w:rsidRDefault="4FBDE5AB" w:rsidP="00EE5015">
      <w:pPr>
        <w:pStyle w:val="ListParagraph"/>
        <w:numPr>
          <w:ilvl w:val="0"/>
          <w:numId w:val="26"/>
        </w:numPr>
        <w:spacing w:line="257" w:lineRule="auto"/>
        <w:rPr>
          <w:rFonts w:eastAsia="Calibri"/>
          <w:b/>
          <w:bCs/>
          <w:lang w:val="en-US"/>
        </w:rPr>
      </w:pPr>
      <w:r w:rsidRPr="2C4E3B28">
        <w:rPr>
          <w:rFonts w:eastAsia="Calibri"/>
          <w:i/>
          <w:iCs/>
          <w:lang w:val="en-US"/>
        </w:rPr>
        <w:lastRenderedPageBreak/>
        <w:t>Myriophyllum spicatum</w:t>
      </w:r>
      <w:r w:rsidRPr="2C4E3B28">
        <w:rPr>
          <w:rFonts w:eastAsia="Calibri"/>
          <w:lang w:val="en-US"/>
        </w:rPr>
        <w:t xml:space="preserve"> and</w:t>
      </w:r>
      <w:r w:rsidRPr="2C4E3B28">
        <w:rPr>
          <w:rFonts w:eastAsia="Calibri"/>
          <w:i/>
          <w:iCs/>
          <w:lang w:val="en-US"/>
        </w:rPr>
        <w:t xml:space="preserve"> Myriophyllum sibiricum</w:t>
      </w:r>
      <w:r w:rsidRPr="2C4E3B28">
        <w:rPr>
          <w:rFonts w:eastAsia="Calibri"/>
          <w:lang w:val="en-US"/>
        </w:rPr>
        <w:t xml:space="preserve"> (Hanson et al. 2005). This was the only study for these two species.</w:t>
      </w:r>
      <w:r w:rsidR="0000713A" w:rsidRPr="2C4E3B28">
        <w:rPr>
          <w:rFonts w:eastAsia="Calibri"/>
          <w:lang w:val="en-US"/>
        </w:rPr>
        <w:t xml:space="preserve"> The DGV authors used a 42-day EC10 (growth) of 600 µg/L for </w:t>
      </w:r>
      <w:r w:rsidR="0000713A" w:rsidRPr="2C4E3B28">
        <w:rPr>
          <w:rFonts w:eastAsia="Calibri"/>
          <w:i/>
          <w:iCs/>
          <w:lang w:val="en-US"/>
        </w:rPr>
        <w:t>M. sibiricum</w:t>
      </w:r>
      <w:r w:rsidR="0000713A" w:rsidRPr="2C4E3B28">
        <w:rPr>
          <w:rFonts w:eastAsia="Calibri"/>
          <w:lang w:val="en-US"/>
        </w:rPr>
        <w:t xml:space="preserve"> and a 28-day EC10 (growth) of 3,300 µg/L for </w:t>
      </w:r>
      <w:r w:rsidR="0000713A" w:rsidRPr="2C4E3B28">
        <w:rPr>
          <w:rFonts w:eastAsia="Calibri"/>
          <w:i/>
          <w:iCs/>
          <w:lang w:val="en-US"/>
        </w:rPr>
        <w:t>M. spicatum</w:t>
      </w:r>
      <w:r w:rsidR="0000713A" w:rsidRPr="2C4E3B28">
        <w:rPr>
          <w:rFonts w:eastAsia="Calibri"/>
          <w:lang w:val="en-US"/>
        </w:rPr>
        <w:t xml:space="preserve">. </w:t>
      </w:r>
      <w:r w:rsidRPr="2C4E3B28">
        <w:rPr>
          <w:rFonts w:eastAsia="Calibri"/>
          <w:lang w:val="en-US"/>
        </w:rPr>
        <w:t xml:space="preserve"> The exposure concentrations for both species were 0, 0.3, 3.0, 10 and 30 mg/L</w:t>
      </w:r>
      <w:r w:rsidRPr="2C4E3B28">
        <w:rPr>
          <w:rFonts w:eastAsia="Calibri"/>
        </w:rPr>
        <w:t>.</w:t>
      </w:r>
      <w:r w:rsidRPr="2C4E3B28">
        <w:rPr>
          <w:rFonts w:eastAsia="Calibri"/>
          <w:lang w:val="en-US"/>
        </w:rPr>
        <w:t xml:space="preserve"> The two lower concentrations had a 10-fold difference, but this was not the case for the rest of the test </w:t>
      </w:r>
      <w:r w:rsidR="000F2823" w:rsidRPr="2C4E3B28">
        <w:rPr>
          <w:rFonts w:eastAsia="Calibri"/>
          <w:lang w:val="en-US"/>
        </w:rPr>
        <w:t xml:space="preserve">concentration </w:t>
      </w:r>
      <w:r w:rsidRPr="2C4E3B28">
        <w:rPr>
          <w:rFonts w:eastAsia="Calibri"/>
          <w:lang w:val="en-US"/>
        </w:rPr>
        <w:t xml:space="preserve">spacing. The response curves for both species show definite increasing effects with increasing concentrations. </w:t>
      </w:r>
      <w:r w:rsidRPr="2C4E3B28">
        <w:rPr>
          <w:rFonts w:eastAsia="Calibri"/>
        </w:rPr>
        <w:t xml:space="preserve">For </w:t>
      </w:r>
      <w:r w:rsidR="008C6948" w:rsidRPr="2C4E3B28">
        <w:rPr>
          <w:rFonts w:eastAsia="Calibri"/>
          <w:i/>
          <w:iCs/>
          <w:lang w:val="en-US"/>
        </w:rPr>
        <w:t xml:space="preserve">M. </w:t>
      </w:r>
      <w:r w:rsidRPr="2C4E3B28">
        <w:rPr>
          <w:rFonts w:eastAsia="Calibri"/>
          <w:i/>
          <w:iCs/>
          <w:lang w:val="en-US"/>
        </w:rPr>
        <w:t>spicatum</w:t>
      </w:r>
      <w:r w:rsidRPr="2C4E3B28">
        <w:rPr>
          <w:rFonts w:eastAsia="Calibri"/>
          <w:lang w:val="en-US"/>
        </w:rPr>
        <w:t xml:space="preserve">, the </w:t>
      </w:r>
      <w:r w:rsidR="008C6948" w:rsidRPr="2C4E3B28">
        <w:rPr>
          <w:rFonts w:eastAsia="Calibri"/>
          <w:lang w:val="en-US"/>
        </w:rPr>
        <w:t>D</w:t>
      </w:r>
      <w:r w:rsidRPr="2C4E3B28">
        <w:rPr>
          <w:rFonts w:eastAsia="Calibri"/>
          <w:lang w:val="en-US"/>
        </w:rPr>
        <w:t>GV authors chose the EC10 (which was more conservative than the NOEC) for the most sensitive endpoint - 28-d dry mass, but no plots were given for this endpoint to check partial effects.  Partial effects were only shown in plots of 42-d plant length and root length, which had higher EC10s of 9</w:t>
      </w:r>
      <w:r w:rsidR="52875CC6" w:rsidRPr="2C4E3B28">
        <w:rPr>
          <w:rFonts w:eastAsia="Calibri"/>
          <w:lang w:val="en-US"/>
        </w:rPr>
        <w:t>,</w:t>
      </w:r>
      <w:r w:rsidRPr="2C4E3B28">
        <w:rPr>
          <w:rFonts w:eastAsia="Calibri"/>
          <w:lang w:val="en-US"/>
        </w:rPr>
        <w:t xml:space="preserve">900 and 10,000 µg/L respectively.  Despite these limitations, the </w:t>
      </w:r>
      <w:r w:rsidRPr="2C4E3B28">
        <w:rPr>
          <w:rFonts w:eastAsia="Calibri"/>
          <w:b/>
          <w:bCs/>
          <w:lang w:val="en-US"/>
        </w:rPr>
        <w:t xml:space="preserve">EC10 of 3,300 ug/L </w:t>
      </w:r>
      <w:r w:rsidR="008C6948" w:rsidRPr="2C4E3B28">
        <w:rPr>
          <w:rFonts w:eastAsia="Calibri"/>
          <w:b/>
          <w:bCs/>
          <w:lang w:val="en-US"/>
        </w:rPr>
        <w:t xml:space="preserve">for </w:t>
      </w:r>
      <w:r w:rsidR="008C6948" w:rsidRPr="2C4E3B28">
        <w:rPr>
          <w:rFonts w:eastAsia="Calibri"/>
          <w:b/>
          <w:bCs/>
          <w:i/>
          <w:iCs/>
          <w:lang w:val="en-US"/>
        </w:rPr>
        <w:t>M. spicatum</w:t>
      </w:r>
      <w:r w:rsidR="008C6948" w:rsidRPr="2C4E3B28">
        <w:rPr>
          <w:rFonts w:eastAsia="Calibri"/>
          <w:b/>
          <w:bCs/>
          <w:lang w:val="en-US"/>
        </w:rPr>
        <w:t xml:space="preserve"> </w:t>
      </w:r>
      <w:r w:rsidRPr="2C4E3B28">
        <w:rPr>
          <w:rFonts w:eastAsia="Calibri"/>
          <w:b/>
          <w:bCs/>
          <w:lang w:val="en-US"/>
        </w:rPr>
        <w:t>is acceptable and should be retained in the SSD</w:t>
      </w:r>
      <w:r w:rsidRPr="2C4E3B28">
        <w:rPr>
          <w:rFonts w:eastAsia="Calibri"/>
          <w:lang w:val="en-US"/>
        </w:rPr>
        <w:t xml:space="preserve">.  For </w:t>
      </w:r>
      <w:r w:rsidR="008C6948" w:rsidRPr="2C4E3B28">
        <w:rPr>
          <w:rFonts w:eastAsia="Calibri"/>
          <w:i/>
          <w:iCs/>
          <w:lang w:val="en-US"/>
        </w:rPr>
        <w:t xml:space="preserve">M. </w:t>
      </w:r>
      <w:r w:rsidRPr="2C4E3B28">
        <w:rPr>
          <w:rFonts w:eastAsia="Calibri"/>
          <w:i/>
          <w:iCs/>
          <w:lang w:val="en-US"/>
        </w:rPr>
        <w:t>sibiricum,</w:t>
      </w:r>
      <w:r w:rsidRPr="2C4E3B28">
        <w:rPr>
          <w:rFonts w:eastAsia="Calibri"/>
          <w:lang w:val="en-US"/>
        </w:rPr>
        <w:t xml:space="preserve"> </w:t>
      </w:r>
      <w:r w:rsidRPr="2C4E3B28">
        <w:rPr>
          <w:rFonts w:eastAsia="Calibri"/>
        </w:rPr>
        <w:t>t</w:t>
      </w:r>
      <w:r w:rsidRPr="2C4E3B28">
        <w:rPr>
          <w:rFonts w:eastAsia="Calibri"/>
          <w:lang w:val="en-US"/>
        </w:rPr>
        <w:t xml:space="preserve">he </w:t>
      </w:r>
      <w:r w:rsidR="008C6948" w:rsidRPr="2C4E3B28">
        <w:rPr>
          <w:rFonts w:eastAsia="Calibri"/>
          <w:lang w:val="en-US"/>
        </w:rPr>
        <w:t>D</w:t>
      </w:r>
      <w:r w:rsidRPr="2C4E3B28">
        <w:rPr>
          <w:rFonts w:eastAsia="Calibri"/>
          <w:lang w:val="en-US"/>
        </w:rPr>
        <w:t xml:space="preserve">GV authors chose the EC10 (which was more conservative than the NOEC) for the most sensitive endpoints </w:t>
      </w:r>
      <w:r w:rsidR="0000713A" w:rsidRPr="2C4E3B28">
        <w:rPr>
          <w:rFonts w:eastAsia="Calibri"/>
          <w:lang w:val="en-US"/>
        </w:rPr>
        <w:t>–</w:t>
      </w:r>
      <w:r w:rsidRPr="2C4E3B28">
        <w:rPr>
          <w:rFonts w:eastAsia="Calibri"/>
          <w:lang w:val="en-US"/>
        </w:rPr>
        <w:t xml:space="preserve"> 42</w:t>
      </w:r>
      <w:r w:rsidR="0000713A" w:rsidRPr="2C4E3B28">
        <w:rPr>
          <w:rFonts w:eastAsia="Calibri"/>
          <w:lang w:val="en-US"/>
        </w:rPr>
        <w:t>-</w:t>
      </w:r>
      <w:r w:rsidRPr="2C4E3B28">
        <w:rPr>
          <w:rFonts w:eastAsia="Calibri"/>
          <w:lang w:val="en-US"/>
        </w:rPr>
        <w:t>d wet mass (and 14-d root length). No plots of these were shown to check for partial effects</w:t>
      </w:r>
      <w:r w:rsidR="008C6948" w:rsidRPr="2C4E3B28">
        <w:rPr>
          <w:rFonts w:eastAsia="Calibri"/>
          <w:lang w:val="en-US"/>
        </w:rPr>
        <w:t>;</w:t>
      </w:r>
      <w:r w:rsidRPr="2C4E3B28">
        <w:rPr>
          <w:rFonts w:eastAsia="Calibri"/>
          <w:lang w:val="en-US"/>
        </w:rPr>
        <w:t xml:space="preserve"> however</w:t>
      </w:r>
      <w:r w:rsidR="008C6948" w:rsidRPr="2C4E3B28">
        <w:rPr>
          <w:rFonts w:eastAsia="Calibri"/>
          <w:lang w:val="en-US"/>
        </w:rPr>
        <w:t>,</w:t>
      </w:r>
      <w:r w:rsidRPr="2C4E3B28">
        <w:rPr>
          <w:rFonts w:eastAsia="Calibri"/>
          <w:lang w:val="en-US"/>
        </w:rPr>
        <w:t xml:space="preserve"> the </w:t>
      </w:r>
      <w:r w:rsidRPr="2C4E3B28">
        <w:rPr>
          <w:rFonts w:eastAsia="Calibri"/>
          <w:b/>
          <w:bCs/>
          <w:lang w:val="en-US"/>
        </w:rPr>
        <w:t xml:space="preserve">EC10 of 600 ug/L </w:t>
      </w:r>
      <w:r w:rsidR="00BC1097" w:rsidRPr="2C4E3B28">
        <w:rPr>
          <w:rFonts w:eastAsia="Calibri"/>
          <w:b/>
          <w:bCs/>
          <w:lang w:val="en-US"/>
        </w:rPr>
        <w:t xml:space="preserve">for </w:t>
      </w:r>
      <w:r w:rsidR="008C6948" w:rsidRPr="2C4E3B28">
        <w:rPr>
          <w:rFonts w:eastAsia="Calibri"/>
          <w:b/>
          <w:bCs/>
          <w:i/>
          <w:iCs/>
          <w:lang w:val="en-US"/>
        </w:rPr>
        <w:t>M. sibiricum</w:t>
      </w:r>
      <w:r w:rsidR="008C6948" w:rsidRPr="2C4E3B28">
        <w:rPr>
          <w:rFonts w:eastAsia="Calibri"/>
          <w:b/>
          <w:bCs/>
          <w:lang w:val="en-US"/>
        </w:rPr>
        <w:t xml:space="preserve"> </w:t>
      </w:r>
      <w:r w:rsidRPr="2C4E3B28">
        <w:rPr>
          <w:rFonts w:eastAsia="Calibri"/>
          <w:b/>
          <w:bCs/>
          <w:lang w:val="en-US"/>
        </w:rPr>
        <w:t xml:space="preserve">is acceptable and </w:t>
      </w:r>
      <w:r w:rsidR="00841BFD" w:rsidRPr="2C4E3B28">
        <w:rPr>
          <w:rFonts w:eastAsia="Calibri"/>
          <w:b/>
          <w:bCs/>
          <w:lang w:val="en-US"/>
        </w:rPr>
        <w:t xml:space="preserve">the </w:t>
      </w:r>
      <w:r w:rsidR="004F5713" w:rsidRPr="2C4E3B28">
        <w:rPr>
          <w:rFonts w:eastAsia="Calibri"/>
          <w:b/>
          <w:bCs/>
          <w:lang w:val="en-US"/>
        </w:rPr>
        <w:t>IRC</w:t>
      </w:r>
      <w:r w:rsidR="00841BFD" w:rsidRPr="2C4E3B28">
        <w:rPr>
          <w:rFonts w:eastAsia="Calibri"/>
          <w:b/>
          <w:bCs/>
          <w:lang w:val="en-US"/>
        </w:rPr>
        <w:t xml:space="preserve"> recommends that this value </w:t>
      </w:r>
      <w:r w:rsidRPr="2C4E3B28">
        <w:rPr>
          <w:rFonts w:eastAsia="Calibri"/>
          <w:b/>
          <w:bCs/>
          <w:lang w:val="en-US"/>
        </w:rPr>
        <w:t>should be retained in the SSD.</w:t>
      </w:r>
    </w:p>
    <w:p w14:paraId="448B09CF" w14:textId="77777777" w:rsidR="00001130" w:rsidRPr="0008244D" w:rsidRDefault="00001130" w:rsidP="00001130">
      <w:pPr>
        <w:pStyle w:val="ListParagraph"/>
        <w:spacing w:line="257" w:lineRule="auto"/>
        <w:rPr>
          <w:rFonts w:eastAsia="Calibri"/>
          <w:b/>
          <w:bCs/>
          <w:lang w:val="en-US"/>
        </w:rPr>
      </w:pPr>
    </w:p>
    <w:p w14:paraId="00313909" w14:textId="05046A2B" w:rsidR="000E29E4" w:rsidRDefault="6FE794B1" w:rsidP="45FFD1F4">
      <w:pPr>
        <w:pStyle w:val="ListParagraph"/>
        <w:numPr>
          <w:ilvl w:val="0"/>
          <w:numId w:val="26"/>
        </w:numPr>
        <w:spacing w:line="257" w:lineRule="auto"/>
        <w:rPr>
          <w:rFonts w:eastAsia="Calibri"/>
          <w:b/>
          <w:bCs/>
          <w:lang w:val="en-US"/>
        </w:rPr>
      </w:pPr>
      <w:r w:rsidRPr="45FFD1F4">
        <w:rPr>
          <w:rFonts w:eastAsia="Calibri"/>
          <w:i/>
          <w:iCs/>
          <w:lang w:val="en-US"/>
        </w:rPr>
        <w:t>Cyclops diaptomus</w:t>
      </w:r>
      <w:r w:rsidRPr="45FFD1F4">
        <w:rPr>
          <w:rFonts w:eastAsia="Calibri"/>
          <w:lang w:val="en-US"/>
        </w:rPr>
        <w:t xml:space="preserve"> (Sanderson et al. 2002). This was the only study for this species.</w:t>
      </w:r>
      <w:r w:rsidR="7DF2CA1D" w:rsidRPr="45FFD1F4">
        <w:rPr>
          <w:rFonts w:eastAsia="Calibri"/>
          <w:lang w:val="en-US"/>
        </w:rPr>
        <w:t xml:space="preserve"> </w:t>
      </w:r>
      <w:r w:rsidR="0000713A" w:rsidRPr="45FFD1F4">
        <w:rPr>
          <w:rFonts w:eastAsia="Calibri"/>
          <w:lang w:val="en-US"/>
        </w:rPr>
        <w:t xml:space="preserve">The </w:t>
      </w:r>
      <w:r w:rsidR="0000713A">
        <w:rPr>
          <w:rFonts w:eastAsia="Calibri"/>
          <w:lang w:val="en-US"/>
        </w:rPr>
        <w:t>D</w:t>
      </w:r>
      <w:r w:rsidR="0000713A" w:rsidRPr="45FFD1F4">
        <w:rPr>
          <w:rFonts w:eastAsia="Calibri"/>
          <w:lang w:val="en-US"/>
        </w:rPr>
        <w:t>GV authors chose a 28-d LOEC for abundance of 1 mg/L</w:t>
      </w:r>
      <w:r w:rsidR="0000713A">
        <w:rPr>
          <w:rFonts w:eastAsia="Calibri"/>
          <w:lang w:val="en-US"/>
        </w:rPr>
        <w:t xml:space="preserve">. </w:t>
      </w:r>
      <w:r w:rsidR="7DF2CA1D" w:rsidRPr="45FFD1F4">
        <w:rPr>
          <w:rFonts w:eastAsia="Calibri"/>
          <w:lang w:val="en-US"/>
        </w:rPr>
        <w:t>This is a microcosm study that aimed to determine a 35-d community no-observable-effect concentration (NOEC</w:t>
      </w:r>
      <w:r w:rsidR="7DF2CA1D" w:rsidRPr="00907F2C">
        <w:rPr>
          <w:rFonts w:eastAsia="Calibri"/>
          <w:vertAlign w:val="subscript"/>
          <w:lang w:val="en-US"/>
        </w:rPr>
        <w:t>community</w:t>
      </w:r>
      <w:r w:rsidR="7DF2CA1D" w:rsidRPr="45FFD1F4">
        <w:rPr>
          <w:rFonts w:eastAsia="Calibri"/>
          <w:lang w:val="en-US"/>
        </w:rPr>
        <w:t xml:space="preserve">) for freshwater zooplankton and the fate of PFOS </w:t>
      </w:r>
      <w:proofErr w:type="gramStart"/>
      <w:r w:rsidR="7DF2CA1D" w:rsidRPr="45FFD1F4">
        <w:rPr>
          <w:rFonts w:eastAsia="Calibri"/>
          <w:lang w:val="en-US"/>
        </w:rPr>
        <w:t>during the course of</w:t>
      </w:r>
      <w:proofErr w:type="gramEnd"/>
      <w:r w:rsidR="7DF2CA1D" w:rsidRPr="45FFD1F4">
        <w:rPr>
          <w:rFonts w:eastAsia="Calibri"/>
          <w:lang w:val="en-US"/>
        </w:rPr>
        <w:t xml:space="preserve"> study. Results of these types of studies are open to a wide range of interpretations and can be difficult to interpret even w</w:t>
      </w:r>
      <w:r w:rsidR="3376E1E2" w:rsidRPr="45FFD1F4">
        <w:rPr>
          <w:rFonts w:eastAsia="Calibri"/>
          <w:lang w:val="en-US"/>
        </w:rPr>
        <w:t>hen</w:t>
      </w:r>
      <w:r w:rsidR="7DF2CA1D" w:rsidRPr="45FFD1F4">
        <w:rPr>
          <w:rFonts w:eastAsia="Calibri"/>
          <w:lang w:val="en-US"/>
        </w:rPr>
        <w:t xml:space="preserve"> the full data</w:t>
      </w:r>
      <w:r w:rsidR="00BC1097">
        <w:rPr>
          <w:rFonts w:eastAsia="Calibri"/>
          <w:lang w:val="en-US"/>
        </w:rPr>
        <w:t>set</w:t>
      </w:r>
      <w:r w:rsidR="7DF2CA1D" w:rsidRPr="45FFD1F4">
        <w:rPr>
          <w:rFonts w:eastAsia="Calibri"/>
          <w:lang w:val="en-US"/>
        </w:rPr>
        <w:t xml:space="preserve"> </w:t>
      </w:r>
      <w:r w:rsidR="3847850F" w:rsidRPr="45FFD1F4">
        <w:rPr>
          <w:rFonts w:eastAsia="Calibri"/>
          <w:lang w:val="en-US"/>
        </w:rPr>
        <w:t xml:space="preserve">is </w:t>
      </w:r>
      <w:r w:rsidR="7DF2CA1D" w:rsidRPr="45FFD1F4">
        <w:rPr>
          <w:rFonts w:eastAsia="Calibri"/>
          <w:lang w:val="en-US"/>
        </w:rPr>
        <w:t xml:space="preserve">available rather than </w:t>
      </w:r>
      <w:r w:rsidR="7E0A4796" w:rsidRPr="45FFD1F4">
        <w:rPr>
          <w:rFonts w:eastAsia="Calibri"/>
          <w:lang w:val="en-US"/>
        </w:rPr>
        <w:t xml:space="preserve">just </w:t>
      </w:r>
      <w:r w:rsidR="7DF2CA1D" w:rsidRPr="45FFD1F4">
        <w:rPr>
          <w:rFonts w:eastAsia="Calibri"/>
          <w:lang w:val="en-US"/>
        </w:rPr>
        <w:t>a published paper. The tested concentrations were 1, 10 and 30 mg/L so while there is a 10</w:t>
      </w:r>
      <w:r w:rsidR="11B58235" w:rsidRPr="45FFD1F4">
        <w:rPr>
          <w:rFonts w:eastAsia="Calibri"/>
          <w:lang w:val="en-US"/>
        </w:rPr>
        <w:t>-</w:t>
      </w:r>
      <w:r w:rsidR="7DF2CA1D" w:rsidRPr="45FFD1F4">
        <w:rPr>
          <w:rFonts w:eastAsia="Calibri"/>
          <w:lang w:val="en-US"/>
        </w:rPr>
        <w:t xml:space="preserve">fold factor between the two lowest concentrations, there is a </w:t>
      </w:r>
      <w:r w:rsidR="696BCE6F" w:rsidRPr="45FFD1F4">
        <w:rPr>
          <w:rFonts w:eastAsia="Calibri"/>
          <w:lang w:val="en-US"/>
        </w:rPr>
        <w:t>factor of 3</w:t>
      </w:r>
      <w:r w:rsidR="7DF2CA1D" w:rsidRPr="45FFD1F4">
        <w:rPr>
          <w:rFonts w:eastAsia="Calibri"/>
          <w:lang w:val="en-US"/>
        </w:rPr>
        <w:t xml:space="preserve"> spacing for the middle and higher concentrations.</w:t>
      </w:r>
      <w:r w:rsidR="4CB15695" w:rsidRPr="45FFD1F4">
        <w:rPr>
          <w:rFonts w:eastAsia="Calibri"/>
          <w:lang w:val="en-US"/>
        </w:rPr>
        <w:t xml:space="preserve"> </w:t>
      </w:r>
      <w:r w:rsidR="05410777" w:rsidRPr="45FFD1F4">
        <w:rPr>
          <w:rFonts w:eastAsia="Calibri"/>
          <w:i/>
          <w:iCs/>
          <w:lang w:val="en-US"/>
        </w:rPr>
        <w:t>Cyclops diaptomus</w:t>
      </w:r>
      <w:r w:rsidR="05410777" w:rsidRPr="45FFD1F4">
        <w:rPr>
          <w:rFonts w:eastAsia="Calibri"/>
          <w:lang w:val="en-US"/>
        </w:rPr>
        <w:t xml:space="preserve"> was the most sensitive species in the zooplankton community. This organism was not found in the samples after one week at 30 mg/L and after two weeks at the 10 mg/L, whereas the abundance in the controls was </w:t>
      </w:r>
      <w:proofErr w:type="gramStart"/>
      <w:r w:rsidR="05410777" w:rsidRPr="45FFD1F4">
        <w:rPr>
          <w:rFonts w:eastAsia="Calibri"/>
          <w:lang w:val="en-US"/>
        </w:rPr>
        <w:t>more or less constant</w:t>
      </w:r>
      <w:proofErr w:type="gramEnd"/>
      <w:r w:rsidR="05410777" w:rsidRPr="45FFD1F4">
        <w:rPr>
          <w:rFonts w:eastAsia="Calibri"/>
          <w:lang w:val="en-US"/>
        </w:rPr>
        <w:t xml:space="preserve"> after 24 h. </w:t>
      </w:r>
      <w:r w:rsidR="0FC1F12D" w:rsidRPr="45FFD1F4">
        <w:rPr>
          <w:rFonts w:eastAsia="Calibri"/>
          <w:lang w:val="en-US"/>
        </w:rPr>
        <w:t xml:space="preserve">The </w:t>
      </w:r>
      <w:r w:rsidR="004F5713">
        <w:rPr>
          <w:rFonts w:eastAsia="Calibri"/>
          <w:lang w:val="en-US"/>
        </w:rPr>
        <w:t>IRC</w:t>
      </w:r>
      <w:r w:rsidR="0FC1F12D" w:rsidRPr="45FFD1F4">
        <w:rPr>
          <w:rFonts w:eastAsia="Calibri"/>
          <w:lang w:val="en-US"/>
        </w:rPr>
        <w:t xml:space="preserve"> recommends that th</w:t>
      </w:r>
      <w:r w:rsidR="62E78FFF" w:rsidRPr="45FFD1F4">
        <w:rPr>
          <w:rFonts w:eastAsia="Calibri"/>
          <w:lang w:val="en-US"/>
        </w:rPr>
        <w:t>e</w:t>
      </w:r>
      <w:r w:rsidR="0FC1F12D" w:rsidRPr="45FFD1F4">
        <w:rPr>
          <w:rFonts w:eastAsia="Calibri"/>
          <w:lang w:val="en-US"/>
        </w:rPr>
        <w:t xml:space="preserve"> </w:t>
      </w:r>
      <w:r w:rsidR="7FDBAF3A" w:rsidRPr="45FFD1F4">
        <w:rPr>
          <w:rFonts w:eastAsia="Calibri"/>
          <w:b/>
          <w:bCs/>
          <w:lang w:val="en-US"/>
        </w:rPr>
        <w:t xml:space="preserve">28-d LOEC for abundance of 1 mg/L </w:t>
      </w:r>
      <w:r w:rsidR="0FC1F12D" w:rsidRPr="45FFD1F4">
        <w:rPr>
          <w:rFonts w:eastAsia="Calibri"/>
          <w:b/>
          <w:bCs/>
          <w:lang w:val="en-US"/>
        </w:rPr>
        <w:t xml:space="preserve">is </w:t>
      </w:r>
      <w:r w:rsidR="0000713A">
        <w:rPr>
          <w:rFonts w:eastAsia="Calibri"/>
          <w:b/>
          <w:bCs/>
          <w:lang w:val="en-US"/>
        </w:rPr>
        <w:t xml:space="preserve">acceptable and should be </w:t>
      </w:r>
      <w:r w:rsidR="0FC1F12D" w:rsidRPr="45FFD1F4">
        <w:rPr>
          <w:rFonts w:eastAsia="Calibri"/>
          <w:b/>
          <w:bCs/>
          <w:lang w:val="en-US"/>
        </w:rPr>
        <w:t>retained</w:t>
      </w:r>
      <w:bookmarkStart w:id="12" w:name="_Toc351391256"/>
      <w:bookmarkStart w:id="13" w:name="_Toc430782159"/>
      <w:r w:rsidR="0000713A">
        <w:rPr>
          <w:rFonts w:eastAsia="Calibri"/>
          <w:b/>
          <w:bCs/>
          <w:lang w:val="en-US"/>
        </w:rPr>
        <w:t xml:space="preserve"> in the SSD.</w:t>
      </w:r>
    </w:p>
    <w:p w14:paraId="397A7BE3" w14:textId="77777777" w:rsidR="00001130" w:rsidRPr="0008244D" w:rsidRDefault="00001130" w:rsidP="00001130">
      <w:pPr>
        <w:pStyle w:val="ListParagraph"/>
        <w:spacing w:line="257" w:lineRule="auto"/>
        <w:rPr>
          <w:rFonts w:eastAsia="Calibri"/>
          <w:b/>
          <w:bCs/>
          <w:lang w:val="en-US"/>
        </w:rPr>
      </w:pPr>
    </w:p>
    <w:p w14:paraId="40AFDE58" w14:textId="21736400" w:rsidR="00764D6A" w:rsidRPr="00001130" w:rsidRDefault="6B584713" w:rsidP="00EE5015">
      <w:pPr>
        <w:pStyle w:val="ListParagraph"/>
        <w:numPr>
          <w:ilvl w:val="0"/>
          <w:numId w:val="26"/>
        </w:numPr>
        <w:spacing w:line="257" w:lineRule="auto"/>
        <w:rPr>
          <w:rFonts w:eastAsia="Calibri"/>
          <w:lang w:val="en-US"/>
        </w:rPr>
      </w:pPr>
      <w:r w:rsidRPr="04D20993">
        <w:rPr>
          <w:rFonts w:eastAsia="Calibri"/>
          <w:i/>
          <w:iCs/>
          <w:lang w:val="en-US"/>
        </w:rPr>
        <w:t xml:space="preserve">Enallagma cyathigerum </w:t>
      </w:r>
      <w:r w:rsidRPr="04D20993">
        <w:rPr>
          <w:rFonts w:eastAsia="Calibri"/>
          <w:lang w:val="en-US"/>
        </w:rPr>
        <w:t>(Bots et al. 2010). This was the only study for this species.</w:t>
      </w:r>
      <w:r w:rsidR="1F14E5A8" w:rsidRPr="04D20993">
        <w:rPr>
          <w:rFonts w:eastAsia="Calibri"/>
          <w:lang w:val="en-US"/>
        </w:rPr>
        <w:t xml:space="preserve"> </w:t>
      </w:r>
      <w:r w:rsidR="0000713A" w:rsidRPr="04D20993">
        <w:rPr>
          <w:rFonts w:eastAsia="Calibri"/>
          <w:lang w:val="en-US"/>
        </w:rPr>
        <w:t xml:space="preserve">The DGV authors used the 120-day LOEC </w:t>
      </w:r>
      <w:r w:rsidR="00B027D9" w:rsidRPr="04D20993">
        <w:rPr>
          <w:rFonts w:eastAsia="Calibri"/>
          <w:lang w:val="en-US"/>
        </w:rPr>
        <w:t xml:space="preserve">of 7.95 µg/L </w:t>
      </w:r>
      <w:r w:rsidR="0000713A" w:rsidRPr="04D20993">
        <w:rPr>
          <w:rFonts w:eastAsia="Calibri"/>
          <w:lang w:val="en-US"/>
        </w:rPr>
        <w:t xml:space="preserve">and converted this to a NOEC of </w:t>
      </w:r>
      <w:r w:rsidR="00B027D9" w:rsidRPr="04D20993">
        <w:rPr>
          <w:rFonts w:eastAsia="Calibri"/>
          <w:lang w:val="en-US"/>
        </w:rPr>
        <w:t xml:space="preserve">3.18 µg/L by dividing by 2.5 as per the Warne et al (2018) guidance. </w:t>
      </w:r>
      <w:r w:rsidR="1F14E5A8" w:rsidRPr="04D20993">
        <w:rPr>
          <w:rFonts w:eastAsia="Calibri"/>
          <w:lang w:val="en-US"/>
        </w:rPr>
        <w:t>With a 10</w:t>
      </w:r>
      <w:r w:rsidR="29BF1BDF" w:rsidRPr="04D20993">
        <w:rPr>
          <w:rFonts w:eastAsia="Calibri"/>
          <w:lang w:val="en-US"/>
        </w:rPr>
        <w:t>-</w:t>
      </w:r>
      <w:r w:rsidR="1F14E5A8" w:rsidRPr="04D20993">
        <w:rPr>
          <w:rFonts w:eastAsia="Calibri"/>
          <w:lang w:val="en-US"/>
        </w:rPr>
        <w:t xml:space="preserve"> fold dilution series</w:t>
      </w:r>
      <w:r w:rsidR="139F0F78" w:rsidRPr="04D20993">
        <w:rPr>
          <w:rFonts w:eastAsia="Calibri"/>
          <w:lang w:val="en-US"/>
        </w:rPr>
        <w:t xml:space="preserve"> (4 exposure concentrations and a control)</w:t>
      </w:r>
      <w:r w:rsidR="432916F3" w:rsidRPr="04D20993">
        <w:rPr>
          <w:rFonts w:eastAsia="Calibri"/>
          <w:lang w:val="en-US"/>
        </w:rPr>
        <w:t>,</w:t>
      </w:r>
      <w:r w:rsidR="139F0F78" w:rsidRPr="04D20993">
        <w:rPr>
          <w:rFonts w:eastAsia="Calibri"/>
          <w:lang w:val="en-US"/>
        </w:rPr>
        <w:t xml:space="preserve"> </w:t>
      </w:r>
      <w:r w:rsidR="1F14E5A8" w:rsidRPr="04D20993">
        <w:rPr>
          <w:rFonts w:eastAsia="Calibri"/>
          <w:lang w:val="en-US"/>
        </w:rPr>
        <w:t>this is really a range finder test</w:t>
      </w:r>
      <w:r w:rsidR="201E1DBC" w:rsidRPr="04D20993">
        <w:rPr>
          <w:rFonts w:eastAsia="Calibri"/>
          <w:lang w:val="en-US"/>
        </w:rPr>
        <w:t xml:space="preserve"> using nominal concentrations only.</w:t>
      </w:r>
      <w:r w:rsidR="1F14E5A8" w:rsidRPr="04D20993">
        <w:rPr>
          <w:rFonts w:eastAsia="Calibri"/>
          <w:lang w:val="en-US"/>
        </w:rPr>
        <w:t xml:space="preserve"> Metamorphosis was inhibited at 10 µg/L (the lowest concentration tested, 75.5% compared to controls)</w:t>
      </w:r>
      <w:r w:rsidR="1A8AE297" w:rsidRPr="04D20993">
        <w:rPr>
          <w:rFonts w:eastAsia="Calibri"/>
          <w:lang w:val="en-US"/>
        </w:rPr>
        <w:t xml:space="preserve"> therefore the NOEC was &lt;10 µg/L.</w:t>
      </w:r>
      <w:r w:rsidR="2A4839D4" w:rsidRPr="04D20993">
        <w:rPr>
          <w:rFonts w:eastAsia="Calibri"/>
          <w:lang w:val="en-US"/>
        </w:rPr>
        <w:t xml:space="preserve">  Bots et al. (2010) published a range of </w:t>
      </w:r>
      <w:r w:rsidR="49777A9F" w:rsidRPr="04D20993">
        <w:rPr>
          <w:rFonts w:eastAsia="Calibri"/>
          <w:lang w:val="en-US"/>
        </w:rPr>
        <w:t xml:space="preserve">other </w:t>
      </w:r>
      <w:r w:rsidR="2A4839D4" w:rsidRPr="04D20993">
        <w:rPr>
          <w:rFonts w:eastAsia="Calibri"/>
          <w:lang w:val="en-US"/>
        </w:rPr>
        <w:t>NOECs</w:t>
      </w:r>
      <w:r w:rsidR="0B83C4D8" w:rsidRPr="04D20993">
        <w:rPr>
          <w:rFonts w:eastAsia="Calibri"/>
          <w:lang w:val="en-US"/>
        </w:rPr>
        <w:t xml:space="preserve"> for different endpoints, including long term NOECs of </w:t>
      </w:r>
      <w:r w:rsidR="7D52791B" w:rsidRPr="04D20993">
        <w:rPr>
          <w:rFonts w:eastAsia="Calibri"/>
          <w:lang w:val="en-US"/>
        </w:rPr>
        <w:t>1</w:t>
      </w:r>
      <w:r w:rsidR="0B83C4D8" w:rsidRPr="04D20993">
        <w:rPr>
          <w:rFonts w:eastAsia="Calibri"/>
          <w:lang w:val="en-US"/>
        </w:rPr>
        <w:t>0</w:t>
      </w:r>
      <w:r w:rsidR="57AF94B2" w:rsidRPr="04D20993">
        <w:rPr>
          <w:rFonts w:eastAsia="Calibri"/>
          <w:lang w:val="en-US"/>
        </w:rPr>
        <w:t xml:space="preserve"> µ</w:t>
      </w:r>
      <w:r w:rsidR="4EBEDDB5" w:rsidRPr="04D20993">
        <w:rPr>
          <w:rFonts w:eastAsia="Calibri"/>
          <w:lang w:val="en-US"/>
        </w:rPr>
        <w:t>g/L</w:t>
      </w:r>
      <w:r w:rsidR="0AE186AE" w:rsidRPr="04D20993">
        <w:rPr>
          <w:rFonts w:eastAsia="Calibri"/>
          <w:lang w:val="en-US"/>
        </w:rPr>
        <w:t xml:space="preserve"> </w:t>
      </w:r>
      <w:r w:rsidR="0B83C4D8" w:rsidRPr="04D20993">
        <w:rPr>
          <w:rFonts w:eastAsia="Calibri"/>
          <w:lang w:val="en-US"/>
        </w:rPr>
        <w:t xml:space="preserve">for both larval survival </w:t>
      </w:r>
      <w:r w:rsidR="3A4C3DFD" w:rsidRPr="04D20993">
        <w:rPr>
          <w:rFonts w:eastAsia="Calibri"/>
          <w:lang w:val="en-US"/>
        </w:rPr>
        <w:t>and</w:t>
      </w:r>
      <w:r w:rsidR="0B83C4D8" w:rsidRPr="04D20993">
        <w:rPr>
          <w:rFonts w:eastAsia="Calibri"/>
          <w:lang w:val="en-US"/>
        </w:rPr>
        <w:t xml:space="preserve"> larval</w:t>
      </w:r>
      <w:r w:rsidR="58ED6E26" w:rsidRPr="04D20993">
        <w:rPr>
          <w:rFonts w:eastAsia="Calibri"/>
          <w:lang w:val="en-US"/>
        </w:rPr>
        <w:t xml:space="preserve"> develop</w:t>
      </w:r>
      <w:r w:rsidR="17BBA86B" w:rsidRPr="04D20993">
        <w:rPr>
          <w:rFonts w:eastAsia="Calibri"/>
          <w:lang w:val="en-US"/>
        </w:rPr>
        <w:t>ment time, and NOECs of 10,000 µg/L</w:t>
      </w:r>
      <w:r w:rsidR="58ED6E26" w:rsidRPr="04D20993">
        <w:rPr>
          <w:rFonts w:eastAsia="Calibri"/>
          <w:lang w:val="en-US"/>
        </w:rPr>
        <w:t xml:space="preserve"> </w:t>
      </w:r>
      <w:r w:rsidR="587F4FA0" w:rsidRPr="04D20993">
        <w:rPr>
          <w:rFonts w:eastAsia="Calibri"/>
          <w:lang w:val="en-US"/>
        </w:rPr>
        <w:t xml:space="preserve">for egg hatching success and </w:t>
      </w:r>
      <w:r w:rsidR="755038B2" w:rsidRPr="04D20993">
        <w:rPr>
          <w:rFonts w:eastAsia="Calibri"/>
          <w:lang w:val="en-US"/>
        </w:rPr>
        <w:t xml:space="preserve">egg </w:t>
      </w:r>
      <w:r w:rsidR="587F4FA0" w:rsidRPr="04D20993">
        <w:rPr>
          <w:rFonts w:eastAsia="Calibri"/>
          <w:lang w:val="en-US"/>
        </w:rPr>
        <w:t xml:space="preserve">hatching time. </w:t>
      </w:r>
      <w:r w:rsidR="240DA89C" w:rsidRPr="04D20993">
        <w:rPr>
          <w:rFonts w:eastAsia="Calibri"/>
          <w:lang w:val="en-US"/>
        </w:rPr>
        <w:t xml:space="preserve"> According to Warne et al. (2018) </w:t>
      </w:r>
      <w:r w:rsidR="6144D84E" w:rsidRPr="04D20993">
        <w:rPr>
          <w:rFonts w:eastAsia="Calibri"/>
          <w:lang w:val="en-US"/>
        </w:rPr>
        <w:t>l</w:t>
      </w:r>
      <w:r w:rsidR="587F4FA0" w:rsidRPr="04D20993">
        <w:rPr>
          <w:lang w:val="en-US"/>
        </w:rPr>
        <w:t xml:space="preserve">ess than (&lt;) values should </w:t>
      </w:r>
      <w:r w:rsidR="31D35E51" w:rsidRPr="04D20993">
        <w:rPr>
          <w:lang w:val="en-US"/>
        </w:rPr>
        <w:t xml:space="preserve">generally </w:t>
      </w:r>
      <w:r w:rsidR="587F4FA0" w:rsidRPr="04D20993">
        <w:rPr>
          <w:lang w:val="en-US"/>
        </w:rPr>
        <w:t>be excluded</w:t>
      </w:r>
      <w:r w:rsidR="0E53412D" w:rsidRPr="04D20993">
        <w:rPr>
          <w:lang w:val="en-US"/>
        </w:rPr>
        <w:t>,</w:t>
      </w:r>
      <w:r w:rsidR="1F14E5A8" w:rsidRPr="04D20993">
        <w:rPr>
          <w:rFonts w:eastAsia="Calibri"/>
          <w:lang w:val="en-US"/>
        </w:rPr>
        <w:t xml:space="preserve"> so </w:t>
      </w:r>
      <w:r w:rsidR="6157CF01" w:rsidRPr="04D20993">
        <w:rPr>
          <w:rFonts w:eastAsia="Calibri"/>
          <w:lang w:val="en-US"/>
        </w:rPr>
        <w:t xml:space="preserve">based on the weight of evidence, </w:t>
      </w:r>
      <w:r w:rsidR="1F14E5A8" w:rsidRPr="04D20993">
        <w:rPr>
          <w:rFonts w:eastAsia="Calibri"/>
          <w:lang w:val="en-US"/>
        </w:rPr>
        <w:t xml:space="preserve">the </w:t>
      </w:r>
      <w:r w:rsidR="004F5713" w:rsidRPr="04D20993">
        <w:rPr>
          <w:rFonts w:eastAsia="Calibri"/>
          <w:lang w:val="en-US"/>
        </w:rPr>
        <w:t>IRC</w:t>
      </w:r>
      <w:r w:rsidR="1F14E5A8" w:rsidRPr="04D20993">
        <w:rPr>
          <w:rFonts w:eastAsia="Calibri"/>
          <w:lang w:val="en-US"/>
        </w:rPr>
        <w:t xml:space="preserve"> recommends that the NOEC for </w:t>
      </w:r>
      <w:r w:rsidR="1220215F" w:rsidRPr="04D20993">
        <w:rPr>
          <w:rFonts w:eastAsia="Calibri"/>
          <w:lang w:val="en-US"/>
        </w:rPr>
        <w:t xml:space="preserve">long term </w:t>
      </w:r>
      <w:r w:rsidR="1F14E5A8" w:rsidRPr="04D20993">
        <w:rPr>
          <w:rFonts w:eastAsia="Calibri"/>
          <w:lang w:val="en-US"/>
        </w:rPr>
        <w:t>survival/development</w:t>
      </w:r>
      <w:r w:rsidR="2684B420" w:rsidRPr="04D20993">
        <w:rPr>
          <w:rFonts w:eastAsia="Calibri"/>
          <w:lang w:val="en-US"/>
        </w:rPr>
        <w:t xml:space="preserve"> </w:t>
      </w:r>
      <w:r w:rsidR="3560E9C8" w:rsidRPr="04D20993">
        <w:rPr>
          <w:rFonts w:eastAsia="Calibri"/>
          <w:lang w:val="en-US"/>
        </w:rPr>
        <w:t>of</w:t>
      </w:r>
      <w:r w:rsidR="2684B420" w:rsidRPr="04D20993">
        <w:rPr>
          <w:rFonts w:eastAsia="Calibri"/>
          <w:lang w:val="en-US"/>
        </w:rPr>
        <w:t xml:space="preserve"> 10 µg/L </w:t>
      </w:r>
      <w:r w:rsidR="1F14E5A8" w:rsidRPr="04D20993">
        <w:rPr>
          <w:rFonts w:eastAsia="Calibri"/>
          <w:lang w:val="en-US"/>
        </w:rPr>
        <w:t>is better to use than the 120-day LOEC</w:t>
      </w:r>
      <w:r w:rsidR="00B027D9" w:rsidRPr="04D20993">
        <w:rPr>
          <w:rFonts w:eastAsia="Calibri"/>
          <w:lang w:val="en-US"/>
        </w:rPr>
        <w:t>.</w:t>
      </w:r>
      <w:r w:rsidR="1F14E5A8" w:rsidRPr="04D20993">
        <w:rPr>
          <w:rFonts w:eastAsia="Calibri"/>
          <w:lang w:val="en-US"/>
        </w:rPr>
        <w:t xml:space="preserve"> </w:t>
      </w:r>
      <w:r w:rsidR="48D105F6" w:rsidRPr="04D20993">
        <w:rPr>
          <w:rFonts w:eastAsia="Calibri"/>
          <w:lang w:val="en-US"/>
        </w:rPr>
        <w:t xml:space="preserve">With correction </w:t>
      </w:r>
      <w:r w:rsidR="1F14E5A8" w:rsidRPr="04D20993">
        <w:rPr>
          <w:rFonts w:eastAsia="Calibri"/>
          <w:lang w:val="en-US"/>
        </w:rPr>
        <w:t>to</w:t>
      </w:r>
      <w:r w:rsidR="346C7335" w:rsidRPr="04D20993">
        <w:rPr>
          <w:rFonts w:eastAsia="Calibri"/>
          <w:lang w:val="en-US"/>
        </w:rPr>
        <w:t xml:space="preserve"> the</w:t>
      </w:r>
      <w:r w:rsidR="1F14E5A8" w:rsidRPr="04D20993">
        <w:rPr>
          <w:rFonts w:eastAsia="Calibri"/>
          <w:lang w:val="en-US"/>
        </w:rPr>
        <w:t xml:space="preserve"> PFOS anion from the ammonium salt</w:t>
      </w:r>
      <w:r w:rsidR="2E8A0EF3" w:rsidRPr="04D20993">
        <w:rPr>
          <w:rFonts w:eastAsia="Calibri"/>
          <w:lang w:val="en-US"/>
        </w:rPr>
        <w:t xml:space="preserve"> (as done by the </w:t>
      </w:r>
      <w:r w:rsidR="001E21ED" w:rsidRPr="04D20993">
        <w:rPr>
          <w:rFonts w:eastAsia="Calibri"/>
          <w:lang w:val="en-US"/>
        </w:rPr>
        <w:t>D</w:t>
      </w:r>
      <w:r w:rsidR="2E8A0EF3" w:rsidRPr="04D20993">
        <w:rPr>
          <w:rFonts w:eastAsia="Calibri"/>
          <w:lang w:val="en-US"/>
        </w:rPr>
        <w:t xml:space="preserve">GV authors), </w:t>
      </w:r>
      <w:r w:rsidR="1F14E5A8" w:rsidRPr="04D20993">
        <w:rPr>
          <w:rFonts w:eastAsia="Calibri"/>
          <w:lang w:val="en-US"/>
        </w:rPr>
        <w:t xml:space="preserve">a NOEC of 7.95 </w:t>
      </w:r>
      <w:r w:rsidR="001E21ED" w:rsidRPr="04D20993">
        <w:rPr>
          <w:rFonts w:eastAsia="Calibri"/>
          <w:lang w:val="en-US"/>
        </w:rPr>
        <w:t xml:space="preserve">µg/L </w:t>
      </w:r>
      <w:r w:rsidR="757F2999" w:rsidRPr="04D20993">
        <w:rPr>
          <w:rFonts w:eastAsia="Calibri"/>
          <w:lang w:val="en-US"/>
        </w:rPr>
        <w:t>would be acceptable. However, b</w:t>
      </w:r>
      <w:r w:rsidR="1F14E5A8" w:rsidRPr="04D20993">
        <w:rPr>
          <w:rFonts w:eastAsia="Calibri"/>
          <w:lang w:val="en-US"/>
        </w:rPr>
        <w:t xml:space="preserve">ecause it </w:t>
      </w:r>
      <w:r w:rsidR="001E21ED" w:rsidRPr="04D20993">
        <w:rPr>
          <w:rFonts w:eastAsia="Calibri"/>
          <w:lang w:val="en-US"/>
        </w:rPr>
        <w:t xml:space="preserve">was not </w:t>
      </w:r>
      <w:r w:rsidR="1F14E5A8" w:rsidRPr="04D20993">
        <w:rPr>
          <w:rFonts w:eastAsia="Calibri"/>
          <w:lang w:val="en-US"/>
        </w:rPr>
        <w:t xml:space="preserve">clear in the paper if their PFOS concentrations were as the ammonium salt or corrected to PFOS anion, and noting that concentrations were only nominal, </w:t>
      </w:r>
      <w:r w:rsidR="0BA34DB3" w:rsidRPr="04D20993">
        <w:rPr>
          <w:rFonts w:eastAsia="Calibri"/>
          <w:lang w:val="en-US"/>
        </w:rPr>
        <w:t xml:space="preserve">the </w:t>
      </w:r>
      <w:r w:rsidR="004F5713" w:rsidRPr="04D20993">
        <w:rPr>
          <w:rFonts w:eastAsia="Calibri"/>
          <w:lang w:val="en-US"/>
        </w:rPr>
        <w:t>IRC</w:t>
      </w:r>
      <w:r w:rsidR="0BA34DB3" w:rsidRPr="04D20993">
        <w:rPr>
          <w:rFonts w:eastAsia="Calibri"/>
          <w:lang w:val="en-US"/>
        </w:rPr>
        <w:t xml:space="preserve"> </w:t>
      </w:r>
      <w:r w:rsidR="001E21ED" w:rsidRPr="04D20993">
        <w:rPr>
          <w:rFonts w:eastAsia="Calibri"/>
          <w:lang w:val="en-US"/>
        </w:rPr>
        <w:t xml:space="preserve">also </w:t>
      </w:r>
      <w:r w:rsidR="0BA34DB3" w:rsidRPr="04D20993">
        <w:rPr>
          <w:rFonts w:eastAsia="Calibri"/>
          <w:lang w:val="en-US"/>
        </w:rPr>
        <w:t xml:space="preserve">recommends that the </w:t>
      </w:r>
      <w:r w:rsidR="001E21ED" w:rsidRPr="04D20993">
        <w:rPr>
          <w:rFonts w:eastAsia="Calibri"/>
          <w:lang w:val="en-US"/>
        </w:rPr>
        <w:t>D</w:t>
      </w:r>
      <w:r w:rsidR="0BA34DB3" w:rsidRPr="04D20993">
        <w:rPr>
          <w:rFonts w:eastAsia="Calibri"/>
          <w:b/>
          <w:bCs/>
          <w:lang w:val="en-US"/>
        </w:rPr>
        <w:t>GV authors recheck with the study authors re. the PFOS anion corrections</w:t>
      </w:r>
      <w:r w:rsidR="11DC9D13" w:rsidRPr="04D20993">
        <w:rPr>
          <w:rFonts w:eastAsia="Calibri"/>
          <w:b/>
          <w:bCs/>
          <w:lang w:val="en-US"/>
        </w:rPr>
        <w:t xml:space="preserve"> before inclusion of the NOEC of 7.95</w:t>
      </w:r>
      <w:r w:rsidR="65299951" w:rsidRPr="04D20993">
        <w:rPr>
          <w:rFonts w:eastAsia="Calibri"/>
          <w:b/>
          <w:bCs/>
          <w:lang w:val="en-US"/>
        </w:rPr>
        <w:t xml:space="preserve"> µg/L</w:t>
      </w:r>
      <w:r w:rsidR="11DC9D13" w:rsidRPr="04D20993">
        <w:rPr>
          <w:rFonts w:eastAsia="Calibri"/>
          <w:b/>
          <w:bCs/>
          <w:lang w:val="en-US"/>
        </w:rPr>
        <w:t>.</w:t>
      </w:r>
    </w:p>
    <w:p w14:paraId="1D11E16F" w14:textId="77777777" w:rsidR="00001130" w:rsidRDefault="00001130" w:rsidP="00001130">
      <w:pPr>
        <w:pStyle w:val="ListParagraph"/>
        <w:spacing w:line="257" w:lineRule="auto"/>
        <w:rPr>
          <w:rFonts w:eastAsia="Calibri"/>
          <w:lang w:val="en-US"/>
        </w:rPr>
      </w:pPr>
    </w:p>
    <w:p w14:paraId="68334C7A" w14:textId="13F24A2E" w:rsidR="00764D6A" w:rsidRDefault="55D67177" w:rsidP="00EE5015">
      <w:pPr>
        <w:pStyle w:val="ListParagraph"/>
        <w:numPr>
          <w:ilvl w:val="0"/>
          <w:numId w:val="26"/>
        </w:numPr>
        <w:spacing w:line="257" w:lineRule="auto"/>
        <w:rPr>
          <w:rFonts w:eastAsia="Calibri"/>
          <w:b/>
          <w:bCs/>
          <w:lang w:val="en-US"/>
        </w:rPr>
      </w:pPr>
      <w:r w:rsidRPr="04D20993">
        <w:rPr>
          <w:rFonts w:eastAsia="Calibri"/>
          <w:i/>
          <w:iCs/>
          <w:lang w:val="en-US"/>
        </w:rPr>
        <w:t>Xenopus laevis</w:t>
      </w:r>
      <w:r w:rsidRPr="04D20993">
        <w:rPr>
          <w:rFonts w:eastAsia="Calibri"/>
          <w:lang w:val="en-US"/>
        </w:rPr>
        <w:t xml:space="preserve"> (Lou et al. 2013). This was the only study for this species. </w:t>
      </w:r>
      <w:r w:rsidR="00B027D9" w:rsidRPr="04D20993">
        <w:rPr>
          <w:rFonts w:eastAsia="Calibri"/>
          <w:lang w:val="en-US"/>
        </w:rPr>
        <w:t>The DGV authors used a 120-d NOEC (growth) of 608 µg/L.  However, t</w:t>
      </w:r>
      <w:r w:rsidR="230FC059" w:rsidRPr="04D20993">
        <w:rPr>
          <w:rFonts w:eastAsia="Calibri"/>
          <w:lang w:val="en-US"/>
        </w:rPr>
        <w:t>his study tested 4 concentrations spaced by 1 or 2 orders of magnitude (0.1, 1, 100 and 1000</w:t>
      </w:r>
      <w:r w:rsidR="1AF4283E" w:rsidRPr="04D20993">
        <w:rPr>
          <w:rFonts w:eastAsia="Calibri"/>
          <w:lang w:val="en-US"/>
        </w:rPr>
        <w:t xml:space="preserve"> µ</w:t>
      </w:r>
      <w:r w:rsidR="230FC059" w:rsidRPr="04D20993">
        <w:rPr>
          <w:rFonts w:eastAsia="Calibri"/>
          <w:lang w:val="en-US"/>
        </w:rPr>
        <w:t xml:space="preserve">g/L).  </w:t>
      </w:r>
      <w:r w:rsidRPr="04D20993">
        <w:rPr>
          <w:rFonts w:eastAsia="Calibri"/>
          <w:lang w:val="en-US"/>
        </w:rPr>
        <w:t>The authors found no effect on either 2-month survival or growth of tadpoles at the highest concentration tested (measured as about 608 µg/L).  The actual NOEC may therefore be much higher</w:t>
      </w:r>
      <w:r w:rsidR="00477648" w:rsidRPr="04D20993">
        <w:rPr>
          <w:rFonts w:eastAsia="Calibri"/>
          <w:lang w:val="en-US"/>
        </w:rPr>
        <w:t>. Following Warne et al (2018)</w:t>
      </w:r>
      <w:r w:rsidR="46E97C65" w:rsidRPr="04D20993">
        <w:rPr>
          <w:rFonts w:eastAsia="Calibri"/>
          <w:lang w:val="en-US"/>
        </w:rPr>
        <w:t>,</w:t>
      </w:r>
      <w:r w:rsidR="00477648" w:rsidRPr="04D20993">
        <w:rPr>
          <w:rFonts w:eastAsia="Calibri"/>
          <w:lang w:val="en-US"/>
        </w:rPr>
        <w:t xml:space="preserve"> </w:t>
      </w:r>
      <w:r w:rsidR="00477648">
        <w:t>toxicity values expressed as greater than (&gt;) should not be used if they are too far outside the existing data range.</w:t>
      </w:r>
      <w:r w:rsidRPr="04D20993">
        <w:rPr>
          <w:rFonts w:eastAsia="Calibri"/>
          <w:lang w:val="en-US"/>
        </w:rPr>
        <w:t xml:space="preserve"> </w:t>
      </w:r>
      <w:r w:rsidR="00477648" w:rsidRPr="04D20993">
        <w:rPr>
          <w:rFonts w:eastAsia="Calibri"/>
          <w:lang w:val="en-US"/>
        </w:rPr>
        <w:t xml:space="preserve"> This is the case here, </w:t>
      </w:r>
      <w:r w:rsidRPr="04D20993">
        <w:rPr>
          <w:rFonts w:eastAsia="Calibri"/>
          <w:lang w:val="en-US"/>
        </w:rPr>
        <w:t xml:space="preserve">so </w:t>
      </w:r>
      <w:r w:rsidR="4DBAD95C" w:rsidRPr="04D20993">
        <w:rPr>
          <w:rFonts w:eastAsia="Calibri"/>
          <w:lang w:val="en-US"/>
        </w:rPr>
        <w:t xml:space="preserve">the </w:t>
      </w:r>
      <w:r w:rsidR="004F5713" w:rsidRPr="04D20993">
        <w:rPr>
          <w:rFonts w:eastAsia="Calibri"/>
          <w:lang w:val="en-US"/>
        </w:rPr>
        <w:t>IRC</w:t>
      </w:r>
      <w:r w:rsidR="4DBAD95C" w:rsidRPr="04D20993">
        <w:rPr>
          <w:rFonts w:eastAsia="Calibri"/>
          <w:b/>
          <w:bCs/>
          <w:lang w:val="en-US"/>
        </w:rPr>
        <w:t xml:space="preserve"> </w:t>
      </w:r>
      <w:r w:rsidRPr="04D20993">
        <w:rPr>
          <w:rFonts w:eastAsia="Calibri"/>
          <w:b/>
          <w:bCs/>
          <w:lang w:val="en-US"/>
        </w:rPr>
        <w:t>recommend</w:t>
      </w:r>
      <w:r w:rsidR="01189164" w:rsidRPr="04D20993">
        <w:rPr>
          <w:rFonts w:eastAsia="Calibri"/>
          <w:b/>
          <w:bCs/>
          <w:lang w:val="en-US"/>
        </w:rPr>
        <w:t>s</w:t>
      </w:r>
      <w:r w:rsidRPr="04D20993">
        <w:rPr>
          <w:rFonts w:eastAsia="Calibri"/>
          <w:b/>
          <w:bCs/>
          <w:lang w:val="en-US"/>
        </w:rPr>
        <w:t xml:space="preserve"> </w:t>
      </w:r>
      <w:r w:rsidR="05C6B891" w:rsidRPr="04D20993">
        <w:rPr>
          <w:rFonts w:eastAsia="Calibri"/>
          <w:b/>
          <w:bCs/>
          <w:lang w:val="en-US"/>
        </w:rPr>
        <w:t>removing this data from the SSD.</w:t>
      </w:r>
    </w:p>
    <w:p w14:paraId="766A9C33" w14:textId="77777777" w:rsidR="00001130" w:rsidRDefault="00001130" w:rsidP="00001130">
      <w:pPr>
        <w:pStyle w:val="ListParagraph"/>
        <w:spacing w:line="257" w:lineRule="auto"/>
        <w:rPr>
          <w:rFonts w:eastAsia="Calibri"/>
          <w:b/>
          <w:bCs/>
          <w:lang w:val="en-US"/>
        </w:rPr>
      </w:pPr>
    </w:p>
    <w:p w14:paraId="4DA30826" w14:textId="0A752FF6" w:rsidR="00001130" w:rsidRPr="00477648" w:rsidRDefault="58AFDC66" w:rsidP="00907F2C">
      <w:pPr>
        <w:pStyle w:val="ListParagraph"/>
        <w:numPr>
          <w:ilvl w:val="0"/>
          <w:numId w:val="26"/>
        </w:numPr>
        <w:spacing w:line="257" w:lineRule="auto"/>
        <w:rPr>
          <w:rFonts w:eastAsia="Calibri"/>
          <w:lang w:val="en-US"/>
        </w:rPr>
      </w:pPr>
      <w:r w:rsidRPr="2C4E3B28">
        <w:rPr>
          <w:rFonts w:eastAsia="Calibri"/>
          <w:i/>
          <w:iCs/>
          <w:lang w:val="en-US"/>
        </w:rPr>
        <w:t>Danio rerio</w:t>
      </w:r>
      <w:r w:rsidRPr="2C4E3B28">
        <w:rPr>
          <w:rFonts w:eastAsia="Calibri"/>
          <w:lang w:val="en-US"/>
        </w:rPr>
        <w:t xml:space="preserve"> (Keiter et al., 2012)</w:t>
      </w:r>
      <w:r w:rsidR="00947FBF">
        <w:rPr>
          <w:rFonts w:eastAsia="Calibri"/>
          <w:lang w:val="en-US"/>
        </w:rPr>
        <w:t>.</w:t>
      </w:r>
      <w:r w:rsidRPr="2C4E3B28">
        <w:rPr>
          <w:rFonts w:eastAsia="Calibri"/>
          <w:lang w:val="en-US"/>
        </w:rPr>
        <w:t xml:space="preserve"> This study had well documented concerns (see section </w:t>
      </w:r>
      <w:r w:rsidR="4844DDD3" w:rsidRPr="2C4E3B28">
        <w:rPr>
          <w:rFonts w:eastAsia="Calibri"/>
          <w:lang w:val="en-US"/>
        </w:rPr>
        <w:t>2</w:t>
      </w:r>
      <w:r w:rsidRPr="2C4E3B28">
        <w:rPr>
          <w:rFonts w:eastAsia="Calibri"/>
          <w:lang w:val="en-US"/>
        </w:rPr>
        <w:t xml:space="preserve">.1) and a newer study (Gust et al, 2024) was performed to address those concerns. </w:t>
      </w:r>
      <w:r w:rsidR="00477648" w:rsidRPr="2C4E3B28">
        <w:rPr>
          <w:rFonts w:eastAsia="Calibri"/>
          <w:lang w:val="en-US"/>
        </w:rPr>
        <w:t xml:space="preserve">The </w:t>
      </w:r>
      <w:r w:rsidR="00C87AAD" w:rsidRPr="2C4E3B28">
        <w:rPr>
          <w:rFonts w:eastAsia="Calibri"/>
          <w:lang w:val="en-US"/>
        </w:rPr>
        <w:t xml:space="preserve">IRC </w:t>
      </w:r>
      <w:r w:rsidR="00C87AAD" w:rsidRPr="2C4E3B28">
        <w:rPr>
          <w:rFonts w:eastAsia="Calibri"/>
          <w:b/>
          <w:bCs/>
          <w:lang w:val="en-US"/>
        </w:rPr>
        <w:t>recommends</w:t>
      </w:r>
      <w:r w:rsidR="00477648" w:rsidRPr="2C4E3B28">
        <w:rPr>
          <w:rFonts w:eastAsia="Calibri"/>
          <w:b/>
          <w:bCs/>
          <w:lang w:val="en-US"/>
        </w:rPr>
        <w:t xml:space="preserve"> that the </w:t>
      </w:r>
      <w:r w:rsidRPr="2C4E3B28">
        <w:rPr>
          <w:rFonts w:eastAsia="Calibri"/>
          <w:b/>
          <w:bCs/>
          <w:lang w:val="en-US"/>
        </w:rPr>
        <w:t xml:space="preserve">result from </w:t>
      </w:r>
      <w:r w:rsidR="00AB2925" w:rsidRPr="2C4E3B28">
        <w:rPr>
          <w:rFonts w:eastAsia="Calibri"/>
          <w:b/>
          <w:bCs/>
          <w:lang w:val="en-US"/>
        </w:rPr>
        <w:t xml:space="preserve">Keiter </w:t>
      </w:r>
      <w:r w:rsidRPr="2C4E3B28">
        <w:rPr>
          <w:rFonts w:eastAsia="Calibri"/>
          <w:b/>
          <w:bCs/>
          <w:lang w:val="en-US"/>
        </w:rPr>
        <w:t>et al (</w:t>
      </w:r>
      <w:r w:rsidR="00AB2925" w:rsidRPr="2C4E3B28">
        <w:rPr>
          <w:rFonts w:eastAsia="Calibri"/>
          <w:b/>
          <w:bCs/>
          <w:lang w:val="en-US"/>
        </w:rPr>
        <w:t>2012</w:t>
      </w:r>
      <w:r w:rsidRPr="2C4E3B28">
        <w:rPr>
          <w:rFonts w:eastAsia="Calibri"/>
          <w:b/>
          <w:bCs/>
          <w:lang w:val="en-US"/>
        </w:rPr>
        <w:t>) should not be used</w:t>
      </w:r>
      <w:r w:rsidR="00477648" w:rsidRPr="2C4E3B28">
        <w:rPr>
          <w:rFonts w:eastAsia="Calibri"/>
          <w:b/>
          <w:bCs/>
          <w:lang w:val="en-US"/>
        </w:rPr>
        <w:t>.</w:t>
      </w:r>
      <w:r w:rsidRPr="2C4E3B28">
        <w:rPr>
          <w:rFonts w:eastAsia="Calibri"/>
          <w:lang w:val="en-US"/>
        </w:rPr>
        <w:t xml:space="preserve"> </w:t>
      </w:r>
    </w:p>
    <w:bookmarkEnd w:id="12"/>
    <w:bookmarkEnd w:id="13"/>
    <w:p w14:paraId="566B1EBB" w14:textId="0746361D" w:rsidR="2C4E3B28" w:rsidRDefault="2C4E3B28" w:rsidP="008B76D7">
      <w:pPr>
        <w:pStyle w:val="ListParagraph"/>
        <w:spacing w:line="257" w:lineRule="auto"/>
        <w:rPr>
          <w:rFonts w:eastAsia="Calibri"/>
          <w:lang w:val="en-US"/>
        </w:rPr>
      </w:pPr>
    </w:p>
    <w:p w14:paraId="08E37848" w14:textId="127CE939" w:rsidR="00764D6A" w:rsidRPr="00001130" w:rsidRDefault="17F71DE4" w:rsidP="2C4E3B28">
      <w:pPr>
        <w:pStyle w:val="ListParagraph"/>
        <w:numPr>
          <w:ilvl w:val="0"/>
          <w:numId w:val="26"/>
        </w:numPr>
        <w:spacing w:line="257" w:lineRule="auto"/>
        <w:rPr>
          <w:b/>
          <w:bCs/>
          <w:lang w:val="en-US"/>
        </w:rPr>
      </w:pPr>
      <w:r w:rsidRPr="2C4E3B28">
        <w:rPr>
          <w:rFonts w:eastAsia="Calibri"/>
          <w:i/>
          <w:iCs/>
          <w:lang w:val="en-US"/>
        </w:rPr>
        <w:t xml:space="preserve">Oryzias latipes </w:t>
      </w:r>
      <w:r w:rsidRPr="2C4E3B28">
        <w:rPr>
          <w:rFonts w:eastAsia="Calibri"/>
          <w:lang w:val="en-US"/>
        </w:rPr>
        <w:t>(Ji et al. 2008). This is one of two studies with this species.</w:t>
      </w:r>
      <w:r w:rsidR="6EDE58F8" w:rsidRPr="2C4E3B28">
        <w:rPr>
          <w:rFonts w:eastAsia="Calibri"/>
          <w:lang w:val="en-US"/>
        </w:rPr>
        <w:t xml:space="preserve"> </w:t>
      </w:r>
      <w:r w:rsidR="00477648" w:rsidRPr="2C4E3B28">
        <w:rPr>
          <w:rFonts w:eastAsia="Calibri"/>
          <w:lang w:val="en-US"/>
        </w:rPr>
        <w:t xml:space="preserve">The DGV authors used a 24-d LOEC (reproduction) </w:t>
      </w:r>
      <w:r w:rsidR="2AEFC02F" w:rsidRPr="2C4E3B28">
        <w:rPr>
          <w:rFonts w:eastAsia="Calibri"/>
          <w:lang w:val="en-US"/>
        </w:rPr>
        <w:t>o</w:t>
      </w:r>
      <w:r w:rsidR="00477648" w:rsidRPr="2C4E3B28">
        <w:rPr>
          <w:rFonts w:eastAsia="Calibri"/>
          <w:lang w:val="en-US"/>
        </w:rPr>
        <w:t xml:space="preserve">f 10 µg/L adjusted to a NOEC by dividing by 2.5. </w:t>
      </w:r>
      <w:r w:rsidR="5DA5F4DC" w:rsidRPr="2C4E3B28">
        <w:rPr>
          <w:rFonts w:eastAsia="Calibri"/>
          <w:lang w:val="en-US"/>
        </w:rPr>
        <w:t>Ji et al</w:t>
      </w:r>
      <w:r w:rsidR="0F487690" w:rsidRPr="2C4E3B28">
        <w:rPr>
          <w:rFonts w:eastAsia="Calibri"/>
          <w:lang w:val="en-US"/>
        </w:rPr>
        <w:t>.</w:t>
      </w:r>
      <w:r w:rsidR="5DA5F4DC" w:rsidRPr="2C4E3B28">
        <w:rPr>
          <w:rFonts w:eastAsia="Calibri"/>
          <w:lang w:val="en-US"/>
        </w:rPr>
        <w:t xml:space="preserve"> (2008) exposed medaka to three nominal concentrations of 0.01, 0.10 and 1.0 mg/L.  </w:t>
      </w:r>
      <w:r w:rsidR="5DA5F4DC" w:rsidRPr="2C4E3B28">
        <w:rPr>
          <w:lang w:val="en-US"/>
        </w:rPr>
        <w:t>There did appear to be a reduction in fecundity (number of eggs produced) in all PFOS exposure groups with the reduction more pronounced at 0.10 and 1.0 mg/L from day 6 to day 14 (end of F0 exposure time). It does appear that the reduction in number of eggs at 0.01 mg/L was &gt;10% to that of the control for most of the assessment periods from day 4 onwards, possibly up to 20% at the 14</w:t>
      </w:r>
      <w:r w:rsidR="37160333" w:rsidRPr="2C4E3B28">
        <w:rPr>
          <w:lang w:val="en-US"/>
        </w:rPr>
        <w:t>-</w:t>
      </w:r>
      <w:r w:rsidR="5DA5F4DC" w:rsidRPr="2C4E3B28">
        <w:rPr>
          <w:lang w:val="en-US"/>
        </w:rPr>
        <w:t>day period. There were statistically significant reductions in total length and body weight of the F0 generation at all concentrations, however, the sample size at the higher two concentrations was quite small. At the lowest concentration, the % reduction</w:t>
      </w:r>
      <w:r w:rsidR="4840E78B" w:rsidRPr="2C4E3B28">
        <w:rPr>
          <w:lang w:val="en-US"/>
        </w:rPr>
        <w:t>s</w:t>
      </w:r>
      <w:r w:rsidR="5DA5F4DC" w:rsidRPr="2C4E3B28">
        <w:rPr>
          <w:lang w:val="en-US"/>
        </w:rPr>
        <w:t xml:space="preserve"> in length and body weight were 4.3% and 12%, respectively. The weight changes may be considered biologically relevant at &gt;10%. In the F0 generation eggs, hatchability was reduced at all concentrations (results only available graphically). From the graphs, it appears the reduction in hatchability at 0.01 and 0.10 mg/L are &lt;10% so may not be considered biologically relevant.</w:t>
      </w:r>
      <w:r w:rsidR="22A6E358" w:rsidRPr="2C4E3B28">
        <w:rPr>
          <w:lang w:val="en-US"/>
        </w:rPr>
        <w:t xml:space="preserve"> </w:t>
      </w:r>
      <w:r w:rsidR="5DA5F4DC" w:rsidRPr="2C4E3B28">
        <w:rPr>
          <w:lang w:val="en-US"/>
        </w:rPr>
        <w:t>The F1 generation time to hatch parameter was clearly influenced by PFOS at 1.0 mg/L but was not statistically reduced at 0.10 or 0.01 mg/L. Given the potentially treatment</w:t>
      </w:r>
      <w:r w:rsidR="7DF93821" w:rsidRPr="2C4E3B28">
        <w:rPr>
          <w:lang w:val="en-US"/>
        </w:rPr>
        <w:t>-</w:t>
      </w:r>
      <w:r w:rsidR="5DA5F4DC" w:rsidRPr="2C4E3B28">
        <w:rPr>
          <w:lang w:val="en-US"/>
        </w:rPr>
        <w:t xml:space="preserve">related effects on F0 body weight at the lowest concentration, it is probably still acceptable to maintain this </w:t>
      </w:r>
      <w:r w:rsidR="6994A560" w:rsidRPr="2C4E3B28">
        <w:rPr>
          <w:lang w:val="en-US"/>
        </w:rPr>
        <w:t>concentration</w:t>
      </w:r>
      <w:r w:rsidR="5DA5F4DC" w:rsidRPr="2C4E3B28">
        <w:rPr>
          <w:lang w:val="en-US"/>
        </w:rPr>
        <w:t xml:space="preserve"> (0.01 mg/L) as the study LOEC.</w:t>
      </w:r>
      <w:r w:rsidR="2C190C74" w:rsidRPr="2C4E3B28">
        <w:rPr>
          <w:lang w:val="en-US"/>
        </w:rPr>
        <w:t xml:space="preserve"> </w:t>
      </w:r>
      <w:r w:rsidR="38E6393C" w:rsidRPr="2C4E3B28">
        <w:rPr>
          <w:lang w:val="en-US"/>
        </w:rPr>
        <w:t>The v</w:t>
      </w:r>
      <w:r w:rsidR="2C190C74" w:rsidRPr="2C4E3B28">
        <w:rPr>
          <w:lang w:val="en-US"/>
        </w:rPr>
        <w:t xml:space="preserve">ery small </w:t>
      </w:r>
      <w:r w:rsidR="6807BC08" w:rsidRPr="2C4E3B28">
        <w:rPr>
          <w:lang w:val="en-US"/>
        </w:rPr>
        <w:t xml:space="preserve">(88% and 96% of control) </w:t>
      </w:r>
      <w:r w:rsidR="2C190C74" w:rsidRPr="2C4E3B28">
        <w:rPr>
          <w:lang w:val="en-US"/>
        </w:rPr>
        <w:t xml:space="preserve">but significant reduction in F1 growth after F0 adult exposure </w:t>
      </w:r>
      <w:r w:rsidR="297B2F5D" w:rsidRPr="2C4E3B28">
        <w:rPr>
          <w:lang w:val="en-US"/>
        </w:rPr>
        <w:t>confirms a</w:t>
      </w:r>
      <w:r w:rsidR="2C190C74" w:rsidRPr="2C4E3B28">
        <w:rPr>
          <w:lang w:val="en-US"/>
        </w:rPr>
        <w:t xml:space="preserve"> LOEC </w:t>
      </w:r>
      <w:r w:rsidR="1225848E" w:rsidRPr="2C4E3B28">
        <w:rPr>
          <w:lang w:val="en-US"/>
        </w:rPr>
        <w:t>of</w:t>
      </w:r>
      <w:r w:rsidR="2C190C74" w:rsidRPr="2C4E3B28">
        <w:rPr>
          <w:lang w:val="en-US"/>
        </w:rPr>
        <w:t xml:space="preserve"> 10 µg/L </w:t>
      </w:r>
      <w:r w:rsidR="56595EE4" w:rsidRPr="2C4E3B28">
        <w:rPr>
          <w:lang w:val="en-US"/>
        </w:rPr>
        <w:t>is acceptable, although the</w:t>
      </w:r>
      <w:r w:rsidR="2C190C74" w:rsidRPr="2C4E3B28">
        <w:rPr>
          <w:lang w:val="en-US"/>
        </w:rPr>
        <w:t xml:space="preserve"> LOEC could </w:t>
      </w:r>
      <w:proofErr w:type="gramStart"/>
      <w:r w:rsidR="2C190C74" w:rsidRPr="2C4E3B28">
        <w:rPr>
          <w:lang w:val="en-US"/>
        </w:rPr>
        <w:t>actually be</w:t>
      </w:r>
      <w:proofErr w:type="gramEnd"/>
      <w:r w:rsidR="2C190C74" w:rsidRPr="2C4E3B28">
        <w:rPr>
          <w:lang w:val="en-US"/>
        </w:rPr>
        <w:t xml:space="preserve"> lower</w:t>
      </w:r>
      <w:r w:rsidR="18A7747F" w:rsidRPr="2C4E3B28">
        <w:rPr>
          <w:lang w:val="en-US"/>
        </w:rPr>
        <w:t xml:space="preserve"> as this was the lowest concentration tested</w:t>
      </w:r>
      <w:r w:rsidR="3888F7CA" w:rsidRPr="2C4E3B28">
        <w:rPr>
          <w:lang w:val="en-US"/>
        </w:rPr>
        <w:t xml:space="preserve">. The </w:t>
      </w:r>
      <w:r w:rsidR="004F5713" w:rsidRPr="2C4E3B28">
        <w:rPr>
          <w:lang w:val="en-US"/>
        </w:rPr>
        <w:t>IRC</w:t>
      </w:r>
      <w:r w:rsidR="3888F7CA" w:rsidRPr="2C4E3B28">
        <w:rPr>
          <w:lang w:val="en-US"/>
        </w:rPr>
        <w:t xml:space="preserve"> recommends that,</w:t>
      </w:r>
      <w:r w:rsidR="5DA5F4DC" w:rsidRPr="2C4E3B28">
        <w:rPr>
          <w:lang w:val="en-US"/>
        </w:rPr>
        <w:t xml:space="preserve"> despite the limited number of test concentrations </w:t>
      </w:r>
      <w:r w:rsidR="1AF50263" w:rsidRPr="2C4E3B28">
        <w:rPr>
          <w:lang w:val="en-US"/>
        </w:rPr>
        <w:t xml:space="preserve">and </w:t>
      </w:r>
      <w:r w:rsidR="5DA5F4DC" w:rsidRPr="2C4E3B28">
        <w:rPr>
          <w:lang w:val="en-US"/>
        </w:rPr>
        <w:t xml:space="preserve">given </w:t>
      </w:r>
      <w:r w:rsidR="2CC817B4" w:rsidRPr="2C4E3B28">
        <w:rPr>
          <w:lang w:val="en-US"/>
        </w:rPr>
        <w:t xml:space="preserve">that </w:t>
      </w:r>
      <w:r w:rsidR="5DA5F4DC" w:rsidRPr="2C4E3B28">
        <w:rPr>
          <w:lang w:val="en-US"/>
        </w:rPr>
        <w:t>no other toxicity data are available for this species</w:t>
      </w:r>
      <w:r w:rsidR="0B3DC20E" w:rsidRPr="2C4E3B28">
        <w:rPr>
          <w:lang w:val="en-US"/>
        </w:rPr>
        <w:t xml:space="preserve">, that </w:t>
      </w:r>
      <w:r w:rsidR="16145B48" w:rsidRPr="2C4E3B28">
        <w:rPr>
          <w:lang w:val="en-US"/>
        </w:rPr>
        <w:t>t</w:t>
      </w:r>
      <w:r w:rsidR="475A2EA1" w:rsidRPr="2C4E3B28">
        <w:rPr>
          <w:lang w:val="en-US"/>
        </w:rPr>
        <w:t xml:space="preserve">he </w:t>
      </w:r>
      <w:r w:rsidR="475A2EA1" w:rsidRPr="2C4E3B28">
        <w:rPr>
          <w:b/>
          <w:bCs/>
          <w:lang w:val="en-US"/>
        </w:rPr>
        <w:t xml:space="preserve">LOEC of </w:t>
      </w:r>
      <w:r w:rsidR="25179C29" w:rsidRPr="2C4E3B28">
        <w:rPr>
          <w:b/>
          <w:bCs/>
          <w:lang w:val="en-US"/>
        </w:rPr>
        <w:t>10 µg/L is retained</w:t>
      </w:r>
      <w:r w:rsidR="00477648" w:rsidRPr="2C4E3B28">
        <w:rPr>
          <w:b/>
          <w:bCs/>
          <w:lang w:val="en-US"/>
        </w:rPr>
        <w:t xml:space="preserve"> in the SSD</w:t>
      </w:r>
      <w:r w:rsidR="25179C29" w:rsidRPr="2C4E3B28">
        <w:rPr>
          <w:b/>
          <w:bCs/>
          <w:lang w:val="en-US"/>
        </w:rPr>
        <w:t>.</w:t>
      </w:r>
    </w:p>
    <w:p w14:paraId="7211F447" w14:textId="77777777" w:rsidR="00001130" w:rsidRDefault="00001130" w:rsidP="00001130">
      <w:pPr>
        <w:pStyle w:val="ListParagraph"/>
        <w:spacing w:line="257" w:lineRule="auto"/>
        <w:rPr>
          <w:b/>
          <w:lang w:val="en-US"/>
        </w:rPr>
      </w:pPr>
    </w:p>
    <w:p w14:paraId="52F578FA" w14:textId="5D0BF46A" w:rsidR="00764D6A" w:rsidRDefault="5E9592EC" w:rsidP="00EE5015">
      <w:pPr>
        <w:pStyle w:val="ListParagraph"/>
        <w:numPr>
          <w:ilvl w:val="0"/>
          <w:numId w:val="26"/>
        </w:numPr>
        <w:spacing w:line="257" w:lineRule="auto"/>
        <w:rPr>
          <w:b/>
          <w:bCs/>
          <w:lang w:val="en-US"/>
        </w:rPr>
      </w:pPr>
      <w:r w:rsidRPr="2C4E3B28">
        <w:rPr>
          <w:i/>
          <w:iCs/>
          <w:lang w:val="en-US"/>
        </w:rPr>
        <w:t>Lithobates pipiens</w:t>
      </w:r>
      <w:r w:rsidRPr="2C4E3B28">
        <w:rPr>
          <w:lang w:val="en-US"/>
        </w:rPr>
        <w:t xml:space="preserve"> (Hoover et al. 2017). This is one of two studies with this species.</w:t>
      </w:r>
      <w:r w:rsidR="6151E97A" w:rsidRPr="2C4E3B28">
        <w:rPr>
          <w:lang w:val="en-US"/>
        </w:rPr>
        <w:t xml:space="preserve"> </w:t>
      </w:r>
      <w:r w:rsidR="006E53A8" w:rsidRPr="2C4E3B28">
        <w:rPr>
          <w:lang w:val="en-US"/>
        </w:rPr>
        <w:t xml:space="preserve">The DGV authors used a 40-d NOEC (development) of 10 µg/L. </w:t>
      </w:r>
      <w:r w:rsidR="6151E97A" w:rsidRPr="2C4E3B28">
        <w:rPr>
          <w:lang w:val="en-US"/>
        </w:rPr>
        <w:t>The tested concentrations were 10, 100 and 1000 µg/L. The exposure and observation period for survival, growth and development was 40 days. Only sublethal effects were observed for tadpoles, as survival for all treatments was above 90%. Length and development trended below controls for nearly all exposures and was deemed statistically significantly different at the two highest concentrations at 40 days. There was a definite reduction also in the 10 µg/L</w:t>
      </w:r>
      <w:r w:rsidR="006E53A8" w:rsidRPr="2C4E3B28">
        <w:rPr>
          <w:lang w:val="en-US"/>
        </w:rPr>
        <w:t xml:space="preserve"> treatment (nominal).</w:t>
      </w:r>
      <w:r w:rsidR="6151E97A" w:rsidRPr="2C4E3B28">
        <w:rPr>
          <w:lang w:val="en-US"/>
        </w:rPr>
        <w:t xml:space="preserve"> In this case, the draft DGV authors note this is the most sensitive</w:t>
      </w:r>
      <w:r w:rsidR="45C07BB6" w:rsidRPr="2C4E3B28">
        <w:rPr>
          <w:lang w:val="en-US"/>
        </w:rPr>
        <w:t xml:space="preserve"> </w:t>
      </w:r>
      <w:r w:rsidR="6151E97A" w:rsidRPr="2C4E3B28">
        <w:rPr>
          <w:lang w:val="en-US"/>
        </w:rPr>
        <w:t xml:space="preserve">of </w:t>
      </w:r>
      <w:r w:rsidR="1B61FC0E" w:rsidRPr="2C4E3B28">
        <w:rPr>
          <w:lang w:val="en-US"/>
        </w:rPr>
        <w:t xml:space="preserve">the </w:t>
      </w:r>
      <w:r w:rsidR="6151E97A" w:rsidRPr="2C4E3B28">
        <w:rPr>
          <w:lang w:val="en-US"/>
        </w:rPr>
        <w:t xml:space="preserve">data available for frogs and exclusion of this toxicity value may result in DGVs that are under-protective. This argument appears </w:t>
      </w:r>
      <w:proofErr w:type="gramStart"/>
      <w:r w:rsidR="6151E97A" w:rsidRPr="2C4E3B28">
        <w:rPr>
          <w:lang w:val="en-US"/>
        </w:rPr>
        <w:lastRenderedPageBreak/>
        <w:t>justified</w:t>
      </w:r>
      <w:proofErr w:type="gramEnd"/>
      <w:r w:rsidR="6151E97A" w:rsidRPr="2C4E3B28">
        <w:rPr>
          <w:lang w:val="en-US"/>
        </w:rPr>
        <w:t xml:space="preserve"> and the </w:t>
      </w:r>
      <w:r w:rsidR="004F5713" w:rsidRPr="2C4E3B28">
        <w:rPr>
          <w:lang w:val="en-US"/>
        </w:rPr>
        <w:t>IRC</w:t>
      </w:r>
      <w:r w:rsidR="4938A24B" w:rsidRPr="2C4E3B28">
        <w:rPr>
          <w:lang w:val="en-US"/>
        </w:rPr>
        <w:t xml:space="preserve"> recommends that the 4</w:t>
      </w:r>
      <w:r w:rsidR="4938A24B" w:rsidRPr="2C4E3B28">
        <w:rPr>
          <w:b/>
          <w:bCs/>
          <w:lang w:val="en-US"/>
        </w:rPr>
        <w:t xml:space="preserve">0-d NOEC of 10 µg/L </w:t>
      </w:r>
      <w:r w:rsidR="6151E97A" w:rsidRPr="2C4E3B28">
        <w:rPr>
          <w:b/>
          <w:bCs/>
          <w:lang w:val="en-US"/>
        </w:rPr>
        <w:t xml:space="preserve">from this study </w:t>
      </w:r>
      <w:r w:rsidR="64B90766" w:rsidRPr="2C4E3B28">
        <w:rPr>
          <w:b/>
          <w:bCs/>
          <w:lang w:val="en-US"/>
        </w:rPr>
        <w:t>be retained.</w:t>
      </w:r>
    </w:p>
    <w:p w14:paraId="393C69AF" w14:textId="77777777" w:rsidR="00001130" w:rsidRDefault="00001130" w:rsidP="00001130">
      <w:pPr>
        <w:pStyle w:val="ListParagraph"/>
        <w:spacing w:line="257" w:lineRule="auto"/>
        <w:rPr>
          <w:b/>
          <w:bCs/>
          <w:lang w:val="en-US"/>
        </w:rPr>
      </w:pPr>
    </w:p>
    <w:p w14:paraId="584B756D" w14:textId="23F86882" w:rsidR="00764D6A" w:rsidRDefault="194CC047" w:rsidP="00117B41">
      <w:pPr>
        <w:pStyle w:val="Heading4"/>
        <w:numPr>
          <w:ilvl w:val="2"/>
          <w:numId w:val="36"/>
        </w:numPr>
        <w:rPr>
          <w:lang w:val="en-US"/>
        </w:rPr>
      </w:pPr>
      <w:r>
        <w:t>Studies</w:t>
      </w:r>
      <w:r w:rsidRPr="2C4E3B28">
        <w:rPr>
          <w:lang w:val="en-US"/>
        </w:rPr>
        <w:t xml:space="preserve"> with only one exposure concentration</w:t>
      </w:r>
    </w:p>
    <w:p w14:paraId="2DACDCE7" w14:textId="2EAC7601" w:rsidR="00764D6A" w:rsidRDefault="5C2D52CD" w:rsidP="00CC7C8A">
      <w:pPr>
        <w:rPr>
          <w:lang w:val="en-US"/>
        </w:rPr>
      </w:pPr>
      <w:r w:rsidRPr="6E2F1E39">
        <w:rPr>
          <w:lang w:val="en-US"/>
        </w:rPr>
        <w:t>One submission</w:t>
      </w:r>
      <w:r w:rsidR="194CC047" w:rsidRPr="6E2F1E39">
        <w:rPr>
          <w:lang w:val="en-US"/>
        </w:rPr>
        <w:t xml:space="preserve"> questioned the use of data </w:t>
      </w:r>
      <w:r w:rsidR="00B73FF9" w:rsidRPr="6E2F1E39">
        <w:rPr>
          <w:lang w:val="en-US"/>
        </w:rPr>
        <w:t xml:space="preserve">for two species </w:t>
      </w:r>
      <w:r w:rsidR="194CC047" w:rsidRPr="6E2F1E39">
        <w:rPr>
          <w:lang w:val="en-US"/>
        </w:rPr>
        <w:t>where only one PFOS concentration was tested.</w:t>
      </w:r>
      <w:r w:rsidR="0F5CB2C4" w:rsidRPr="6E2F1E39">
        <w:rPr>
          <w:lang w:val="en-US"/>
        </w:rPr>
        <w:t xml:space="preserve"> The </w:t>
      </w:r>
      <w:r w:rsidR="004F5713" w:rsidRPr="6E2F1E39">
        <w:rPr>
          <w:lang w:val="en-US"/>
        </w:rPr>
        <w:t>IRC</w:t>
      </w:r>
      <w:r w:rsidR="0F5CB2C4" w:rsidRPr="6E2F1E39">
        <w:rPr>
          <w:lang w:val="en-US"/>
        </w:rPr>
        <w:t xml:space="preserve"> carefully reviewed these studies and has recommended the following inclusions and exclusions:</w:t>
      </w:r>
    </w:p>
    <w:p w14:paraId="61371819" w14:textId="7C10B618" w:rsidR="00764D6A" w:rsidRPr="00001130" w:rsidRDefault="6D493305" w:rsidP="00EE5015">
      <w:pPr>
        <w:pStyle w:val="ListParagraph"/>
        <w:numPr>
          <w:ilvl w:val="0"/>
          <w:numId w:val="25"/>
        </w:numPr>
        <w:rPr>
          <w:lang w:val="en-US"/>
        </w:rPr>
      </w:pPr>
      <w:r w:rsidRPr="47D3BD4B">
        <w:rPr>
          <w:i/>
          <w:iCs/>
          <w:lang w:val="en-US"/>
        </w:rPr>
        <w:t>Chironomus riparius</w:t>
      </w:r>
      <w:r w:rsidRPr="47D3BD4B">
        <w:rPr>
          <w:lang w:val="en-US"/>
        </w:rPr>
        <w:t xml:space="preserve"> (Stefani et al. 2014, Marziali et al. 2019)</w:t>
      </w:r>
      <w:r w:rsidR="26031E13" w:rsidRPr="47D3BD4B">
        <w:rPr>
          <w:lang w:val="en-US"/>
        </w:rPr>
        <w:t xml:space="preserve">. </w:t>
      </w:r>
      <w:r w:rsidR="006E53A8">
        <w:rPr>
          <w:lang w:val="en-US"/>
        </w:rPr>
        <w:t>The DGV authors used a LOEC (development) of 3.5 µg/L converted to a NOEC of 1.4 µg/L by dividing by 2.5. However, o</w:t>
      </w:r>
      <w:r w:rsidR="26031E13" w:rsidRPr="47D3BD4B">
        <w:rPr>
          <w:lang w:val="en-US"/>
        </w:rPr>
        <w:t xml:space="preserve">nly one concentration (10 µg/L nominal) was used (and measured as 3.5 µg/L) and very small effects were only found on growth/development time in females in only 2-4 of 10 generations at 3.5 µg/L (not survival, reproduction).  </w:t>
      </w:r>
      <w:r w:rsidR="437643BB" w:rsidRPr="47D3BD4B">
        <w:rPr>
          <w:lang w:val="en-US"/>
        </w:rPr>
        <w:t xml:space="preserve">Given that the study authors </w:t>
      </w:r>
      <w:r w:rsidR="26031E13" w:rsidRPr="47D3BD4B">
        <w:rPr>
          <w:lang w:val="en-US"/>
        </w:rPr>
        <w:t>conclude</w:t>
      </w:r>
      <w:r w:rsidR="27F7CB50" w:rsidRPr="47D3BD4B">
        <w:rPr>
          <w:lang w:val="en-US"/>
        </w:rPr>
        <w:t>d</w:t>
      </w:r>
      <w:r w:rsidR="26031E13" w:rsidRPr="47D3BD4B">
        <w:rPr>
          <w:lang w:val="en-US"/>
        </w:rPr>
        <w:t xml:space="preserve"> that population effects were unlikely</w:t>
      </w:r>
      <w:r w:rsidR="17BDC94D" w:rsidRPr="47D3BD4B">
        <w:rPr>
          <w:lang w:val="en-US"/>
        </w:rPr>
        <w:t xml:space="preserve">, the </w:t>
      </w:r>
      <w:r w:rsidR="004F5713">
        <w:rPr>
          <w:lang w:val="en-US"/>
        </w:rPr>
        <w:t>IRC</w:t>
      </w:r>
      <w:r w:rsidR="17BDC94D" w:rsidRPr="47D3BD4B">
        <w:rPr>
          <w:lang w:val="en-US"/>
        </w:rPr>
        <w:t xml:space="preserve"> recommends that </w:t>
      </w:r>
      <w:r w:rsidR="17BDC94D" w:rsidRPr="47D3BD4B">
        <w:rPr>
          <w:b/>
          <w:bCs/>
          <w:lang w:val="en-US"/>
        </w:rPr>
        <w:t>this data is excluded from use in the SSD.</w:t>
      </w:r>
    </w:p>
    <w:p w14:paraId="3286F24E" w14:textId="77777777" w:rsidR="00001130" w:rsidRDefault="00001130" w:rsidP="00001130">
      <w:pPr>
        <w:pStyle w:val="ListParagraph"/>
        <w:rPr>
          <w:lang w:val="en-US"/>
        </w:rPr>
      </w:pPr>
    </w:p>
    <w:p w14:paraId="3ACBF771" w14:textId="246007B5" w:rsidR="00764D6A" w:rsidRDefault="765550FB" w:rsidP="00EE5015">
      <w:pPr>
        <w:pStyle w:val="ListParagraph"/>
        <w:numPr>
          <w:ilvl w:val="0"/>
          <w:numId w:val="25"/>
        </w:numPr>
        <w:rPr>
          <w:b/>
          <w:bCs/>
          <w:lang w:val="en-US"/>
        </w:rPr>
      </w:pPr>
      <w:r w:rsidRPr="2C4E3B28">
        <w:rPr>
          <w:i/>
          <w:iCs/>
          <w:lang w:val="en-US"/>
        </w:rPr>
        <w:t xml:space="preserve">Xiphophorus helleri </w:t>
      </w:r>
      <w:r w:rsidRPr="2C4E3B28">
        <w:rPr>
          <w:lang w:val="en-US"/>
        </w:rPr>
        <w:t>(Han et al. 2010).</w:t>
      </w:r>
      <w:r w:rsidR="593A2501" w:rsidRPr="2C4E3B28">
        <w:rPr>
          <w:lang w:val="en-US"/>
        </w:rPr>
        <w:t xml:space="preserve"> </w:t>
      </w:r>
      <w:r w:rsidR="006E53A8" w:rsidRPr="2C4E3B28">
        <w:rPr>
          <w:lang w:val="en-US"/>
        </w:rPr>
        <w:t xml:space="preserve">The DGV authors used a 90-d LOEC (growth) of 100 µg/L, converted to a NOEC of 40 µg/L by dividing by 2.5. </w:t>
      </w:r>
      <w:r w:rsidR="3F776020" w:rsidRPr="2C4E3B28">
        <w:rPr>
          <w:lang w:val="en-US"/>
        </w:rPr>
        <w:t xml:space="preserve">Three concentrations </w:t>
      </w:r>
      <w:r w:rsidR="00BC1114" w:rsidRPr="2C4E3B28">
        <w:rPr>
          <w:lang w:val="en-US"/>
        </w:rPr>
        <w:t xml:space="preserve">(0.1, 0.5, 2.5 mg/L) </w:t>
      </w:r>
      <w:r w:rsidR="3F776020" w:rsidRPr="2C4E3B28">
        <w:rPr>
          <w:lang w:val="en-US"/>
        </w:rPr>
        <w:t xml:space="preserve">and a control were tested </w:t>
      </w:r>
      <w:r w:rsidR="593A2501" w:rsidRPr="2C4E3B28">
        <w:rPr>
          <w:lang w:val="en-US"/>
        </w:rPr>
        <w:t>for the first generation</w:t>
      </w:r>
      <w:r w:rsidR="00BC1114" w:rsidRPr="2C4E3B28">
        <w:rPr>
          <w:lang w:val="en-US"/>
        </w:rPr>
        <w:t xml:space="preserve">, while a single concentration (0.1 mg/L) and control were tested for the second generation. </w:t>
      </w:r>
      <w:r w:rsidR="006E53A8" w:rsidRPr="2C4E3B28">
        <w:rPr>
          <w:lang w:val="en-US"/>
        </w:rPr>
        <w:t xml:space="preserve">At the end of the exposure period for the </w:t>
      </w:r>
      <w:r w:rsidR="00FE0EFC" w:rsidRPr="2C4E3B28">
        <w:rPr>
          <w:lang w:val="en-US"/>
        </w:rPr>
        <w:t xml:space="preserve">first </w:t>
      </w:r>
      <w:r w:rsidR="00C87AAD" w:rsidRPr="2C4E3B28">
        <w:rPr>
          <w:lang w:val="en-US"/>
        </w:rPr>
        <w:t>generation, the</w:t>
      </w:r>
      <w:r w:rsidR="593A2501" w:rsidRPr="2C4E3B28">
        <w:rPr>
          <w:lang w:val="en-US"/>
        </w:rPr>
        <w:t xml:space="preserve"> survival rates among the adult females were 100%, 88.9%, 89% and 33.3% in the 0, 0.1, 0.5 and 2.5 mg/</w:t>
      </w:r>
      <w:r w:rsidR="63511C2C" w:rsidRPr="2C4E3B28">
        <w:rPr>
          <w:lang w:val="en-US"/>
        </w:rPr>
        <w:t>L</w:t>
      </w:r>
      <w:r w:rsidR="593A2501" w:rsidRPr="2C4E3B28">
        <w:rPr>
          <w:lang w:val="en-US"/>
        </w:rPr>
        <w:t xml:space="preserve"> groups (Chi-square test, p &lt; 0.01), respectively.) While there was no statistical difference in the average number of offspring in the treatment groups, there was a difference (p &lt; 0.01) in the 14-day survival rates of the offspring (9</w:t>
      </w:r>
      <w:r w:rsidR="6E22E9E4" w:rsidRPr="2C4E3B28">
        <w:rPr>
          <w:lang w:val="en-US"/>
        </w:rPr>
        <w:t>8</w:t>
      </w:r>
      <w:r w:rsidR="593A2501" w:rsidRPr="2C4E3B28">
        <w:rPr>
          <w:lang w:val="en-US"/>
        </w:rPr>
        <w:t>%, 9</w:t>
      </w:r>
      <w:r w:rsidR="28E1D133" w:rsidRPr="2C4E3B28">
        <w:rPr>
          <w:lang w:val="en-US"/>
        </w:rPr>
        <w:t>6</w:t>
      </w:r>
      <w:r w:rsidR="593A2501" w:rsidRPr="2C4E3B28">
        <w:rPr>
          <w:lang w:val="en-US"/>
        </w:rPr>
        <w:t>% and 43% in the 0, 0.1, and 0.5 mg/</w:t>
      </w:r>
      <w:r w:rsidR="00BC1114" w:rsidRPr="2C4E3B28">
        <w:rPr>
          <w:lang w:val="en-US"/>
        </w:rPr>
        <w:t xml:space="preserve">L </w:t>
      </w:r>
      <w:r w:rsidR="593A2501" w:rsidRPr="2C4E3B28">
        <w:rPr>
          <w:lang w:val="en-US"/>
        </w:rPr>
        <w:t>PFOS groups, respectively). The effects of growth in the second generation w</w:t>
      </w:r>
      <w:r w:rsidR="684085A2" w:rsidRPr="2C4E3B28">
        <w:rPr>
          <w:lang w:val="en-US"/>
        </w:rPr>
        <w:t>ere</w:t>
      </w:r>
      <w:r w:rsidR="593A2501" w:rsidRPr="2C4E3B28">
        <w:rPr>
          <w:lang w:val="en-US"/>
        </w:rPr>
        <w:t xml:space="preserve"> only considered for a single treatment </w:t>
      </w:r>
      <w:r w:rsidR="7E48167E" w:rsidRPr="2C4E3B28">
        <w:rPr>
          <w:lang w:val="en-US"/>
        </w:rPr>
        <w:t>concentration</w:t>
      </w:r>
      <w:r w:rsidR="00BC1114" w:rsidRPr="2C4E3B28">
        <w:rPr>
          <w:lang w:val="en-US"/>
        </w:rPr>
        <w:t xml:space="preserve"> (0.1 mg/L)</w:t>
      </w:r>
      <w:r w:rsidR="593A2501" w:rsidRPr="2C4E3B28">
        <w:rPr>
          <w:lang w:val="en-US"/>
        </w:rPr>
        <w:t xml:space="preserve">, but given the effects observed earlier, this should be considered acceptable. Growth (90 days) based on both body length and weight in females was statistically significantly different at this concentration and inhibition compared to the control for both measurements was ~13%. Therefore, the </w:t>
      </w:r>
      <w:r w:rsidR="004F5713" w:rsidRPr="2C4E3B28">
        <w:rPr>
          <w:lang w:val="en-US"/>
        </w:rPr>
        <w:t>IRC</w:t>
      </w:r>
      <w:r w:rsidR="2CC7CF16" w:rsidRPr="2C4E3B28">
        <w:rPr>
          <w:lang w:val="en-US"/>
        </w:rPr>
        <w:t xml:space="preserve"> recommends that the</w:t>
      </w:r>
      <w:r w:rsidR="593A2501" w:rsidRPr="2C4E3B28">
        <w:rPr>
          <w:lang w:val="en-US"/>
        </w:rPr>
        <w:t xml:space="preserve"> </w:t>
      </w:r>
      <w:r w:rsidR="593A2501" w:rsidRPr="2C4E3B28">
        <w:rPr>
          <w:b/>
          <w:bCs/>
          <w:lang w:val="en-US"/>
        </w:rPr>
        <w:t xml:space="preserve">100 µg/L LOEC </w:t>
      </w:r>
      <w:r w:rsidR="2DE79322" w:rsidRPr="2C4E3B28">
        <w:rPr>
          <w:b/>
          <w:bCs/>
          <w:lang w:val="en-US"/>
        </w:rPr>
        <w:t>should be retained</w:t>
      </w:r>
      <w:r w:rsidR="593A2501" w:rsidRPr="2C4E3B28">
        <w:rPr>
          <w:b/>
          <w:bCs/>
          <w:lang w:val="en-US"/>
        </w:rPr>
        <w:t>.</w:t>
      </w:r>
      <w:r w:rsidR="65CAA6E7" w:rsidRPr="2C4E3B28">
        <w:rPr>
          <w:b/>
          <w:bCs/>
          <w:lang w:val="en-US"/>
        </w:rPr>
        <w:t xml:space="preserve"> </w:t>
      </w:r>
      <w:r w:rsidR="65CAA6E7" w:rsidRPr="2C4E3B28">
        <w:rPr>
          <w:lang w:val="en-US"/>
        </w:rPr>
        <w:t>When converted to a NOEC of 40 µg/L this NOEC is within the range of other values for fish.</w:t>
      </w:r>
    </w:p>
    <w:p w14:paraId="52B4A41D" w14:textId="7AB0DFA7" w:rsidR="00764D6A" w:rsidRDefault="00764D6A" w:rsidP="47D3BD4B">
      <w:pPr>
        <w:rPr>
          <w:b/>
          <w:bCs/>
          <w:lang w:val="en-US"/>
        </w:rPr>
      </w:pPr>
    </w:p>
    <w:p w14:paraId="22DE369F" w14:textId="05613942" w:rsidR="00764D6A" w:rsidRDefault="0BDD96CD" w:rsidP="00117B41">
      <w:pPr>
        <w:pStyle w:val="Heading4"/>
        <w:numPr>
          <w:ilvl w:val="2"/>
          <w:numId w:val="36"/>
        </w:numPr>
        <w:rPr>
          <w:lang w:val="en-US"/>
        </w:rPr>
      </w:pPr>
      <w:r>
        <w:t>Data</w:t>
      </w:r>
      <w:r w:rsidRPr="2C4E3B28">
        <w:rPr>
          <w:lang w:val="en-US"/>
        </w:rPr>
        <w:t xml:space="preserve"> selection decisions inconsistent with the hierarchy of acceptable toxicity estimates</w:t>
      </w:r>
    </w:p>
    <w:p w14:paraId="6642144E" w14:textId="39522FF0" w:rsidR="4113742B" w:rsidRDefault="7D87402B" w:rsidP="00CC7C8A">
      <w:pPr>
        <w:pStyle w:val="ListParagraph"/>
        <w:ind w:left="0"/>
        <w:rPr>
          <w:lang w:val="en-US"/>
        </w:rPr>
      </w:pPr>
      <w:r w:rsidRPr="6E2F1E39">
        <w:rPr>
          <w:lang w:val="en-US"/>
        </w:rPr>
        <w:t>One submission</w:t>
      </w:r>
      <w:r w:rsidR="4113742B" w:rsidRPr="6E2F1E39">
        <w:rPr>
          <w:lang w:val="en-US"/>
        </w:rPr>
        <w:t xml:space="preserve"> raised questions around the possible inconsistency with the preferred hierarchy of toxicity estimates applied in several species. Some studies have been addressed already in the above sections and are not reported further within this section. The </w:t>
      </w:r>
      <w:r w:rsidR="004F5713" w:rsidRPr="6E2F1E39">
        <w:rPr>
          <w:lang w:val="en-US"/>
        </w:rPr>
        <w:t>IRC</w:t>
      </w:r>
      <w:r w:rsidR="00F90058" w:rsidRPr="6E2F1E39">
        <w:rPr>
          <w:lang w:val="en-US"/>
        </w:rPr>
        <w:t xml:space="preserve"> </w:t>
      </w:r>
      <w:r w:rsidR="4113742B" w:rsidRPr="6E2F1E39">
        <w:rPr>
          <w:lang w:val="en-US"/>
        </w:rPr>
        <w:t>has reviewed the other studies and recommends the following inclusions and exclusions:</w:t>
      </w:r>
    </w:p>
    <w:p w14:paraId="4DD6F729" w14:textId="77777777" w:rsidR="00001130" w:rsidRDefault="00001130" w:rsidP="00001130">
      <w:pPr>
        <w:pStyle w:val="ListParagraph"/>
        <w:ind w:left="0"/>
      </w:pPr>
    </w:p>
    <w:p w14:paraId="031EB91B" w14:textId="766BD254" w:rsidR="4113742B" w:rsidRPr="000F6CFE" w:rsidRDefault="4113742B" w:rsidP="000F6CFE">
      <w:pPr>
        <w:pStyle w:val="ListParagraph"/>
        <w:numPr>
          <w:ilvl w:val="0"/>
          <w:numId w:val="24"/>
        </w:numPr>
        <w:rPr>
          <w:rFonts w:eastAsia="Calibri"/>
          <w:b/>
          <w:bCs/>
          <w:lang w:val="en-US"/>
        </w:rPr>
      </w:pPr>
      <w:r w:rsidRPr="000F6CFE">
        <w:rPr>
          <w:rFonts w:eastAsia="Calibri"/>
          <w:i/>
          <w:iCs/>
          <w:lang w:val="en-US"/>
        </w:rPr>
        <w:t>Chironomus tentans</w:t>
      </w:r>
      <w:r w:rsidRPr="000F6CFE">
        <w:rPr>
          <w:rFonts w:eastAsia="Calibri"/>
          <w:lang w:val="en-US"/>
        </w:rPr>
        <w:t xml:space="preserve"> (MacDonald et al</w:t>
      </w:r>
      <w:r w:rsidR="00F74E89" w:rsidRPr="000F6CFE">
        <w:rPr>
          <w:rFonts w:eastAsia="Calibri"/>
          <w:lang w:val="en-US"/>
        </w:rPr>
        <w:t>.</w:t>
      </w:r>
      <w:r w:rsidRPr="000F6CFE">
        <w:rPr>
          <w:rFonts w:eastAsia="Calibri"/>
          <w:lang w:val="en-US"/>
        </w:rPr>
        <w:t xml:space="preserve">, 2004). The </w:t>
      </w:r>
      <w:r w:rsidR="007E76B3" w:rsidRPr="000F6CFE">
        <w:rPr>
          <w:rFonts w:eastAsia="Calibri"/>
          <w:lang w:val="en-US"/>
        </w:rPr>
        <w:t xml:space="preserve">DGV </w:t>
      </w:r>
      <w:r w:rsidRPr="000F6CFE">
        <w:rPr>
          <w:rFonts w:eastAsia="Calibri"/>
          <w:lang w:val="en-US"/>
        </w:rPr>
        <w:t xml:space="preserve">authors selected the lowest exposure concentration (2.3 µg/L) </w:t>
      </w:r>
      <w:r w:rsidR="009602D0" w:rsidRPr="000F6CFE">
        <w:rPr>
          <w:rFonts w:eastAsia="Calibri"/>
          <w:lang w:val="en-US"/>
        </w:rPr>
        <w:t xml:space="preserve">from the chronic test </w:t>
      </w:r>
      <w:r w:rsidRPr="000F6CFE">
        <w:rPr>
          <w:rFonts w:eastAsia="Calibri"/>
          <w:lang w:val="en-US"/>
        </w:rPr>
        <w:t xml:space="preserve">as a LOEC because of the statistically significant reduction in emergence at the lowest concentration. The </w:t>
      </w:r>
      <w:r w:rsidR="009602D0" w:rsidRPr="000F6CFE">
        <w:rPr>
          <w:rFonts w:eastAsia="Calibri"/>
          <w:lang w:val="en-US"/>
        </w:rPr>
        <w:t xml:space="preserve">chronic test </w:t>
      </w:r>
      <w:r w:rsidRPr="000F6CFE">
        <w:rPr>
          <w:rFonts w:eastAsia="Calibri"/>
          <w:lang w:val="en-US"/>
        </w:rPr>
        <w:t>was undertaken with measured concentrations of 2.3</w:t>
      </w:r>
      <w:r w:rsidR="554C5A55" w:rsidRPr="000F6CFE">
        <w:rPr>
          <w:rFonts w:eastAsia="Calibri"/>
          <w:lang w:val="en-US"/>
        </w:rPr>
        <w:t>,</w:t>
      </w:r>
      <w:r w:rsidRPr="000F6CFE">
        <w:rPr>
          <w:rFonts w:eastAsia="Calibri"/>
          <w:lang w:val="en-US"/>
        </w:rPr>
        <w:t xml:space="preserve"> 14.4</w:t>
      </w:r>
      <w:r w:rsidR="184FDAD6" w:rsidRPr="000F6CFE">
        <w:rPr>
          <w:rFonts w:eastAsia="Calibri"/>
          <w:lang w:val="en-US"/>
        </w:rPr>
        <w:t xml:space="preserve">, </w:t>
      </w:r>
      <w:r w:rsidRPr="000F6CFE">
        <w:rPr>
          <w:rFonts w:eastAsia="Calibri"/>
          <w:lang w:val="en-US"/>
        </w:rPr>
        <w:t>21.7</w:t>
      </w:r>
      <w:r w:rsidR="23A0A126" w:rsidRPr="000F6CFE">
        <w:rPr>
          <w:rFonts w:eastAsia="Calibri"/>
          <w:lang w:val="en-US"/>
        </w:rPr>
        <w:t xml:space="preserve">, </w:t>
      </w:r>
      <w:r w:rsidRPr="000F6CFE">
        <w:rPr>
          <w:rFonts w:eastAsia="Calibri"/>
          <w:lang w:val="en-US"/>
        </w:rPr>
        <w:t>94.9</w:t>
      </w:r>
      <w:r w:rsidR="320134BA" w:rsidRPr="000F6CFE">
        <w:rPr>
          <w:rFonts w:eastAsia="Calibri"/>
          <w:lang w:val="en-US"/>
        </w:rPr>
        <w:t>,</w:t>
      </w:r>
      <w:r w:rsidRPr="000F6CFE">
        <w:rPr>
          <w:rFonts w:eastAsia="Calibri"/>
          <w:lang w:val="en-US"/>
        </w:rPr>
        <w:t xml:space="preserve"> 149.0 µg/L</w:t>
      </w:r>
      <w:r w:rsidR="00755B9A" w:rsidRPr="000F6CFE">
        <w:rPr>
          <w:rFonts w:eastAsia="Calibri"/>
          <w:lang w:val="en-US"/>
        </w:rPr>
        <w:t>.</w:t>
      </w:r>
      <w:r w:rsidRPr="000F6CFE">
        <w:rPr>
          <w:rFonts w:eastAsia="Calibri"/>
          <w:lang w:val="en-US"/>
        </w:rPr>
        <w:t xml:space="preserve"> With respect to emergence (results only provided graphically), there is</w:t>
      </w:r>
      <w:r w:rsidR="00755B9A" w:rsidRPr="000F6CFE">
        <w:rPr>
          <w:rFonts w:eastAsia="Calibri"/>
          <w:lang w:val="en-US"/>
        </w:rPr>
        <w:t xml:space="preserve"> an apparent</w:t>
      </w:r>
      <w:r w:rsidRPr="000F6CFE">
        <w:rPr>
          <w:rFonts w:eastAsia="Calibri"/>
          <w:lang w:val="en-US"/>
        </w:rPr>
        <w:t xml:space="preserve"> </w:t>
      </w:r>
      <w:r w:rsidR="078BFD2B" w:rsidRPr="000F6CFE">
        <w:rPr>
          <w:rFonts w:eastAsia="Calibri"/>
          <w:lang w:val="en-US"/>
        </w:rPr>
        <w:t>concentration</w:t>
      </w:r>
      <w:r w:rsidR="66DE6FC3" w:rsidRPr="000F6CFE">
        <w:rPr>
          <w:rFonts w:eastAsia="Calibri"/>
          <w:lang w:val="en-US"/>
        </w:rPr>
        <w:t>-</w:t>
      </w:r>
      <w:r w:rsidRPr="000F6CFE">
        <w:rPr>
          <w:rFonts w:eastAsia="Calibri"/>
          <w:lang w:val="en-US"/>
        </w:rPr>
        <w:t xml:space="preserve">response </w:t>
      </w:r>
      <w:proofErr w:type="gramStart"/>
      <w:r w:rsidR="00755B9A" w:rsidRPr="000F6CFE">
        <w:rPr>
          <w:rFonts w:eastAsia="Calibri"/>
          <w:lang w:val="en-US"/>
        </w:rPr>
        <w:t>by virtue of the fact that</w:t>
      </w:r>
      <w:proofErr w:type="gramEnd"/>
      <w:r w:rsidR="00755B9A" w:rsidRPr="000F6CFE">
        <w:rPr>
          <w:rFonts w:eastAsia="Calibri"/>
          <w:lang w:val="en-US"/>
        </w:rPr>
        <w:t xml:space="preserve"> the highest inhibition was observed at the highest concentration</w:t>
      </w:r>
      <w:r w:rsidRPr="000F6CFE">
        <w:rPr>
          <w:rFonts w:eastAsia="Calibri"/>
          <w:lang w:val="en-US"/>
        </w:rPr>
        <w:t xml:space="preserve">. Correcting emergence in the treatment groups for the control emergence at the end of the study (~73%), the inhibition in emergence in the 2.3, 14.4, 21.7 and 94.9 µg /L was 31.5, 41.1, 35.6 and 84.2%, respectively as read from the </w:t>
      </w:r>
      <w:r w:rsidR="00C87AAD" w:rsidRPr="000F6CFE">
        <w:rPr>
          <w:rFonts w:eastAsia="Calibri"/>
          <w:lang w:val="en-US"/>
        </w:rPr>
        <w:t>graph (</w:t>
      </w:r>
      <w:r w:rsidR="000F6CFE" w:rsidRPr="000F6CFE">
        <w:rPr>
          <w:rFonts w:eastAsia="Calibri"/>
          <w:lang w:val="en-US"/>
        </w:rPr>
        <w:t xml:space="preserve">Figure 4 in the literature paper). </w:t>
      </w:r>
      <w:r w:rsidRPr="000F6CFE">
        <w:rPr>
          <w:rFonts w:eastAsia="Calibri"/>
          <w:lang w:val="en-US"/>
        </w:rPr>
        <w:t xml:space="preserve">There was 100% inhibition at the highest treatment. At this level (149 </w:t>
      </w:r>
      <w:r w:rsidR="1E59BC5D" w:rsidRPr="000F6CFE">
        <w:rPr>
          <w:rFonts w:eastAsia="Calibri"/>
          <w:lang w:val="en-US"/>
        </w:rPr>
        <w:t>µg/L)</w:t>
      </w:r>
      <w:r w:rsidR="00947FBF" w:rsidRPr="000F6CFE">
        <w:rPr>
          <w:rFonts w:eastAsia="Calibri"/>
          <w:lang w:val="en-US"/>
        </w:rPr>
        <w:t>,</w:t>
      </w:r>
      <w:r w:rsidRPr="000F6CFE">
        <w:rPr>
          <w:rFonts w:eastAsia="Calibri"/>
          <w:lang w:val="en-US"/>
        </w:rPr>
        <w:t xml:space="preserve"> a few larvae were observed in the emergence/reproduction replicates</w:t>
      </w:r>
      <w:r w:rsidR="00755B9A" w:rsidRPr="000F6CFE">
        <w:rPr>
          <w:rFonts w:eastAsia="Calibri"/>
          <w:lang w:val="en-US"/>
        </w:rPr>
        <w:t>,</w:t>
      </w:r>
      <w:r w:rsidRPr="000F6CFE">
        <w:rPr>
          <w:rFonts w:eastAsia="Calibri"/>
          <w:lang w:val="en-US"/>
        </w:rPr>
        <w:t xml:space="preserve"> but none survived through </w:t>
      </w:r>
      <w:r w:rsidRPr="000F6CFE">
        <w:rPr>
          <w:rFonts w:eastAsia="Calibri"/>
          <w:lang w:val="en-US"/>
        </w:rPr>
        <w:lastRenderedPageBreak/>
        <w:t xml:space="preserve">pupation to emerge. The study authors report a calculated EC50 and EC10 for total emergence of 94.5 and 89.3 µg /L, respectively. Relatively tight confidence intervals are associated with these values, but without the raw data, it is not clear how these values are possible given the apparent &gt;30% effect at the lowest concentration and &gt;80% effect at the measured 94.9 µg /L.  </w:t>
      </w:r>
      <w:r w:rsidR="00755B9A" w:rsidRPr="000F6CFE">
        <w:rPr>
          <w:rFonts w:eastAsia="Calibri"/>
          <w:lang w:val="en-US"/>
        </w:rPr>
        <w:t>These values are not consistent with the data shown in Figure 4 in the publication as described above where &gt;30% inhibition was observed at the lowest exposure concentration.</w:t>
      </w:r>
      <w:r w:rsidRPr="000F6CFE">
        <w:rPr>
          <w:rFonts w:eastAsia="Calibri"/>
          <w:lang w:val="en-US"/>
        </w:rPr>
        <w:t xml:space="preserve"> The </w:t>
      </w:r>
      <w:r w:rsidR="004F5713" w:rsidRPr="000F6CFE">
        <w:rPr>
          <w:rFonts w:eastAsia="Calibri"/>
          <w:lang w:val="en-US"/>
        </w:rPr>
        <w:t>IRC</w:t>
      </w:r>
      <w:r w:rsidRPr="000F6CFE">
        <w:rPr>
          <w:rFonts w:eastAsia="Calibri"/>
          <w:lang w:val="en-US"/>
        </w:rPr>
        <w:t xml:space="preserve"> considered that, without the raw data, the </w:t>
      </w:r>
      <w:r w:rsidR="00FD2A0E" w:rsidRPr="000F6CFE">
        <w:rPr>
          <w:rFonts w:eastAsia="Calibri"/>
          <w:lang w:val="en-US"/>
        </w:rPr>
        <w:t xml:space="preserve">ECx </w:t>
      </w:r>
      <w:r w:rsidR="187C0E0F" w:rsidRPr="000F6CFE">
        <w:rPr>
          <w:rFonts w:eastAsia="Calibri"/>
          <w:lang w:val="en-US"/>
        </w:rPr>
        <w:t>values</w:t>
      </w:r>
      <w:r w:rsidRPr="000F6CFE">
        <w:rPr>
          <w:rFonts w:eastAsia="Calibri"/>
          <w:lang w:val="en-US"/>
        </w:rPr>
        <w:t xml:space="preserve"> reported in this study should not be relied on for emergence results. It </w:t>
      </w:r>
      <w:r w:rsidR="00FD2A0E" w:rsidRPr="000F6CFE">
        <w:rPr>
          <w:rFonts w:eastAsia="Calibri"/>
          <w:lang w:val="en-US"/>
        </w:rPr>
        <w:t xml:space="preserve">cannot </w:t>
      </w:r>
      <w:r w:rsidRPr="000F6CFE">
        <w:rPr>
          <w:rFonts w:eastAsia="Calibri"/>
          <w:lang w:val="en-US"/>
        </w:rPr>
        <w:t xml:space="preserve">be reconciled how the </w:t>
      </w:r>
      <w:r w:rsidR="00FD2A0E" w:rsidRPr="000F6CFE">
        <w:rPr>
          <w:rFonts w:eastAsia="Calibri"/>
          <w:lang w:val="en-US"/>
        </w:rPr>
        <w:t xml:space="preserve">study </w:t>
      </w:r>
      <w:r w:rsidRPr="000F6CFE">
        <w:rPr>
          <w:rFonts w:eastAsia="Calibri"/>
          <w:lang w:val="en-US"/>
        </w:rPr>
        <w:t xml:space="preserve">authors calculated an EC10 for total emergence of 89.3 µg /L with such tight confidence intervals, yet the study NOEC is listed as being &lt;~40 times lower than this. </w:t>
      </w:r>
      <w:r w:rsidR="009825D9" w:rsidRPr="000F6CFE">
        <w:rPr>
          <w:rFonts w:eastAsia="Calibri"/>
          <w:lang w:val="en-US"/>
        </w:rPr>
        <w:t xml:space="preserve">Despite these inconsistencies, the </w:t>
      </w:r>
      <w:r w:rsidRPr="000F6CFE">
        <w:rPr>
          <w:rFonts w:eastAsia="Calibri"/>
          <w:lang w:val="en-US"/>
        </w:rPr>
        <w:t xml:space="preserve">study appears valid. </w:t>
      </w:r>
      <w:r w:rsidR="004A3724" w:rsidRPr="000F6CFE">
        <w:rPr>
          <w:rFonts w:eastAsia="Calibri"/>
          <w:b/>
          <w:bCs/>
          <w:lang w:val="en-US"/>
        </w:rPr>
        <w:t>Given the concerns above</w:t>
      </w:r>
      <w:r w:rsidR="009825D9" w:rsidRPr="000F6CFE">
        <w:rPr>
          <w:rFonts w:eastAsia="Calibri"/>
          <w:b/>
          <w:bCs/>
          <w:lang w:val="en-US"/>
        </w:rPr>
        <w:t>,</w:t>
      </w:r>
      <w:r w:rsidR="004A3724" w:rsidRPr="000F6CFE">
        <w:rPr>
          <w:rFonts w:eastAsia="Calibri"/>
          <w:b/>
          <w:bCs/>
          <w:lang w:val="en-US"/>
        </w:rPr>
        <w:t xml:space="preserve"> the </w:t>
      </w:r>
      <w:r w:rsidR="009825D9" w:rsidRPr="000F6CFE">
        <w:rPr>
          <w:rFonts w:eastAsia="Calibri"/>
          <w:b/>
          <w:bCs/>
          <w:lang w:val="en-US"/>
        </w:rPr>
        <w:t xml:space="preserve">DGV </w:t>
      </w:r>
      <w:r w:rsidRPr="000F6CFE">
        <w:rPr>
          <w:rFonts w:eastAsia="Calibri"/>
          <w:b/>
          <w:bCs/>
          <w:lang w:val="en-US"/>
        </w:rPr>
        <w:t>authors should obtain the concentration</w:t>
      </w:r>
      <w:r w:rsidR="6E22977B" w:rsidRPr="000F6CFE">
        <w:rPr>
          <w:rFonts w:eastAsia="Calibri"/>
          <w:b/>
          <w:bCs/>
          <w:lang w:val="en-US"/>
        </w:rPr>
        <w:t>-</w:t>
      </w:r>
      <w:r w:rsidRPr="000F6CFE">
        <w:rPr>
          <w:rFonts w:eastAsia="Calibri"/>
          <w:b/>
          <w:bCs/>
          <w:lang w:val="en-US"/>
        </w:rPr>
        <w:t>response curve to ensure reliability of the EC10 prior to its inclusion.</w:t>
      </w:r>
      <w:r w:rsidR="004A3724" w:rsidRPr="000F6CFE">
        <w:rPr>
          <w:rFonts w:eastAsia="Calibri"/>
          <w:b/>
          <w:bCs/>
          <w:lang w:val="en-US"/>
        </w:rPr>
        <w:t xml:space="preserve"> </w:t>
      </w:r>
      <w:r w:rsidR="000F6CFE" w:rsidRPr="000F6CFE">
        <w:rPr>
          <w:rFonts w:eastAsia="Calibri"/>
          <w:b/>
          <w:bCs/>
          <w:lang w:val="en-US"/>
        </w:rPr>
        <w:t xml:space="preserve">If the curve is deemed unreliable, the current choice of applying the LOEC with the appropriate assessment factor should be maintained in the SSD. </w:t>
      </w:r>
      <w:r w:rsidR="004A3724" w:rsidRPr="000F6CFE">
        <w:rPr>
          <w:rFonts w:eastAsia="Calibri"/>
          <w:b/>
          <w:bCs/>
          <w:lang w:val="en-US"/>
        </w:rPr>
        <w:t xml:space="preserve">In addition, </w:t>
      </w:r>
      <w:r w:rsidR="009825D9" w:rsidRPr="000F6CFE">
        <w:rPr>
          <w:rFonts w:eastAsia="Calibri"/>
          <w:b/>
          <w:bCs/>
          <w:lang w:val="en-US"/>
        </w:rPr>
        <w:t>one of the submissions</w:t>
      </w:r>
      <w:r w:rsidR="004A3724" w:rsidRPr="000F6CFE">
        <w:rPr>
          <w:rFonts w:eastAsia="Calibri"/>
          <w:b/>
          <w:bCs/>
          <w:lang w:val="en-US"/>
        </w:rPr>
        <w:t xml:space="preserve"> noted that there is another </w:t>
      </w:r>
      <w:r w:rsidR="009825D9" w:rsidRPr="000F6CFE">
        <w:rPr>
          <w:rFonts w:eastAsia="Calibri"/>
          <w:b/>
          <w:bCs/>
          <w:lang w:val="en-US"/>
        </w:rPr>
        <w:t xml:space="preserve">recent </w:t>
      </w:r>
      <w:r w:rsidR="004A3724" w:rsidRPr="000F6CFE">
        <w:rPr>
          <w:rFonts w:eastAsia="Calibri"/>
          <w:b/>
          <w:bCs/>
          <w:lang w:val="en-US"/>
        </w:rPr>
        <w:t>study available for this species (McCarthy et al,</w:t>
      </w:r>
      <w:r w:rsidR="626B6844" w:rsidRPr="000F6CFE">
        <w:rPr>
          <w:rFonts w:eastAsia="Calibri"/>
          <w:b/>
          <w:bCs/>
          <w:lang w:val="en-US"/>
        </w:rPr>
        <w:t>.</w:t>
      </w:r>
      <w:r w:rsidR="004A3724" w:rsidRPr="000F6CFE">
        <w:rPr>
          <w:rFonts w:eastAsia="Calibri"/>
          <w:b/>
          <w:bCs/>
          <w:lang w:val="en-US"/>
        </w:rPr>
        <w:t xml:space="preserve"> 2021</w:t>
      </w:r>
      <w:r w:rsidR="30CB1BB5" w:rsidRPr="000F6CFE">
        <w:rPr>
          <w:rFonts w:eastAsia="Calibri"/>
          <w:b/>
          <w:bCs/>
          <w:lang w:val="en-US"/>
        </w:rPr>
        <w:t>)</w:t>
      </w:r>
      <w:r w:rsidR="009825D9" w:rsidRPr="000F6CFE">
        <w:rPr>
          <w:rFonts w:eastAsia="Calibri"/>
          <w:b/>
          <w:bCs/>
          <w:lang w:val="en-US"/>
        </w:rPr>
        <w:t xml:space="preserve"> that was not available at the time the draft DGVs were der</w:t>
      </w:r>
      <w:r w:rsidR="008B76D7" w:rsidRPr="000F6CFE">
        <w:rPr>
          <w:rFonts w:eastAsia="Calibri"/>
          <w:b/>
          <w:bCs/>
          <w:lang w:val="en-US"/>
        </w:rPr>
        <w:t>ived</w:t>
      </w:r>
      <w:r w:rsidR="004A3724" w:rsidRPr="000F6CFE">
        <w:rPr>
          <w:rFonts w:eastAsia="Calibri"/>
          <w:b/>
          <w:bCs/>
          <w:lang w:val="en-US"/>
        </w:rPr>
        <w:t xml:space="preserve">. This study has not been reviewed by the </w:t>
      </w:r>
      <w:r w:rsidR="6A56AC7F" w:rsidRPr="000F6CFE">
        <w:rPr>
          <w:rFonts w:eastAsia="Calibri"/>
          <w:b/>
          <w:bCs/>
          <w:lang w:val="en-US"/>
        </w:rPr>
        <w:t>IRC</w:t>
      </w:r>
      <w:r w:rsidR="009825D9" w:rsidRPr="000F6CFE">
        <w:rPr>
          <w:rFonts w:eastAsia="Calibri"/>
          <w:b/>
          <w:bCs/>
          <w:lang w:val="en-US"/>
        </w:rPr>
        <w:t>, but the IRC recommends that it is</w:t>
      </w:r>
      <w:r w:rsidR="004A3724" w:rsidRPr="000F6CFE">
        <w:rPr>
          <w:rFonts w:eastAsia="Calibri"/>
          <w:b/>
          <w:bCs/>
          <w:lang w:val="en-US"/>
        </w:rPr>
        <w:t xml:space="preserve"> obtained and considered for </w:t>
      </w:r>
      <w:r w:rsidR="009825D9" w:rsidRPr="000F6CFE">
        <w:rPr>
          <w:rFonts w:eastAsia="Calibri"/>
          <w:b/>
          <w:bCs/>
          <w:lang w:val="en-US"/>
        </w:rPr>
        <w:t>use in the selection of the final toxicity</w:t>
      </w:r>
      <w:r w:rsidR="004A3724" w:rsidRPr="000F6CFE">
        <w:rPr>
          <w:rFonts w:eastAsia="Calibri"/>
          <w:b/>
          <w:bCs/>
          <w:lang w:val="en-US"/>
        </w:rPr>
        <w:t xml:space="preserve"> value for this species.</w:t>
      </w:r>
    </w:p>
    <w:p w14:paraId="0F8D4E06" w14:textId="756EF35C" w:rsidR="4113742B" w:rsidRDefault="4113742B" w:rsidP="384BFEFD">
      <w:pPr>
        <w:spacing w:after="0"/>
      </w:pPr>
      <w:r w:rsidRPr="384BFEFD">
        <w:rPr>
          <w:rFonts w:ascii="Calibri" w:eastAsia="Calibri" w:hAnsi="Calibri" w:cs="Calibri"/>
          <w:lang w:val="en-US"/>
        </w:rPr>
        <w:t xml:space="preserve"> </w:t>
      </w:r>
    </w:p>
    <w:p w14:paraId="781559E1" w14:textId="5C78998C" w:rsidR="4113742B" w:rsidRDefault="4113742B" w:rsidP="5430F672">
      <w:pPr>
        <w:pStyle w:val="ListParagraph"/>
        <w:numPr>
          <w:ilvl w:val="0"/>
          <w:numId w:val="24"/>
        </w:numPr>
        <w:rPr>
          <w:rFonts w:eastAsia="Calibri"/>
          <w:b/>
          <w:bCs/>
        </w:rPr>
      </w:pPr>
      <w:r w:rsidRPr="5430F672">
        <w:rPr>
          <w:rFonts w:eastAsia="Calibri"/>
          <w:i/>
          <w:iCs/>
        </w:rPr>
        <w:t>Lampsilis siliquoidea</w:t>
      </w:r>
      <w:r w:rsidRPr="5430F672">
        <w:rPr>
          <w:rFonts w:eastAsia="Calibri"/>
        </w:rPr>
        <w:t xml:space="preserve"> (Hazelton et al</w:t>
      </w:r>
      <w:r w:rsidR="00F74E89" w:rsidRPr="5430F672">
        <w:rPr>
          <w:rFonts w:eastAsia="Calibri"/>
        </w:rPr>
        <w:t>.</w:t>
      </w:r>
      <w:r w:rsidRPr="5430F672">
        <w:rPr>
          <w:rFonts w:eastAsia="Calibri"/>
        </w:rPr>
        <w:t xml:space="preserve">, 2012). The </w:t>
      </w:r>
      <w:r w:rsidR="007E76B3" w:rsidRPr="5430F672">
        <w:rPr>
          <w:rFonts w:eastAsia="Calibri"/>
        </w:rPr>
        <w:t xml:space="preserve">DGV </w:t>
      </w:r>
      <w:r w:rsidRPr="5430F672">
        <w:rPr>
          <w:rFonts w:eastAsia="Calibri"/>
        </w:rPr>
        <w:t>authors applied a LOEC based on survival of 4.5 µg/L justified because it was the only available toxicity result for this species. There was contamination in the control group (2.11 µg/L), and only two other measured concentrations tested (4.52</w:t>
      </w:r>
      <w:r w:rsidR="30579BAF" w:rsidRPr="5430F672">
        <w:rPr>
          <w:rFonts w:eastAsia="Calibri"/>
        </w:rPr>
        <w:t>,</w:t>
      </w:r>
      <w:r w:rsidRPr="5430F672">
        <w:rPr>
          <w:rFonts w:eastAsia="Calibri"/>
        </w:rPr>
        <w:t xml:space="preserve"> 69.5 µg/L).  Control contamination </w:t>
      </w:r>
      <w:r w:rsidR="558ADB66" w:rsidRPr="5430F672">
        <w:rPr>
          <w:rFonts w:eastAsia="Calibri"/>
        </w:rPr>
        <w:t xml:space="preserve">was </w:t>
      </w:r>
      <w:r w:rsidRPr="5430F672">
        <w:rPr>
          <w:rFonts w:eastAsia="Calibri"/>
        </w:rPr>
        <w:t>quite high.  Further, viability of controls decreased over time, and it is likely no established acceptability limits for control survival were met.  While there was a highly significant (p&lt;0.0005) difference in survival after 36 days (7 weeks) between 2.11 µg/L (control) and 4.52 µg/L</w:t>
      </w:r>
      <w:r w:rsidR="437AACBF" w:rsidRPr="5430F672">
        <w:rPr>
          <w:rFonts w:eastAsia="Calibri"/>
        </w:rPr>
        <w:t>,</w:t>
      </w:r>
      <w:r w:rsidRPr="5430F672">
        <w:rPr>
          <w:rFonts w:eastAsia="Calibri"/>
        </w:rPr>
        <w:t xml:space="preserve"> there was no clear </w:t>
      </w:r>
      <w:r w:rsidR="000F2823" w:rsidRPr="5430F672">
        <w:rPr>
          <w:rFonts w:eastAsia="Calibri"/>
        </w:rPr>
        <w:t>concentration-response relationship</w:t>
      </w:r>
      <w:r w:rsidRPr="5430F672">
        <w:rPr>
          <w:rFonts w:eastAsia="Calibri"/>
        </w:rPr>
        <w:t xml:space="preserve"> as the viability a</w:t>
      </w:r>
      <w:r w:rsidR="682FB7B4" w:rsidRPr="5430F672">
        <w:rPr>
          <w:rFonts w:eastAsia="Calibri"/>
        </w:rPr>
        <w:t>t</w:t>
      </w:r>
      <w:r w:rsidRPr="5430F672">
        <w:rPr>
          <w:rFonts w:eastAsia="Calibri"/>
        </w:rPr>
        <w:t xml:space="preserve"> 69.5 µg/L produced a similar decrease in viability. The </w:t>
      </w:r>
      <w:r w:rsidR="004F5713" w:rsidRPr="5430F672">
        <w:rPr>
          <w:rFonts w:eastAsia="Calibri"/>
        </w:rPr>
        <w:t>IRC</w:t>
      </w:r>
      <w:r w:rsidRPr="5430F672">
        <w:rPr>
          <w:rFonts w:eastAsia="Calibri"/>
        </w:rPr>
        <w:t xml:space="preserve"> has concerns about the validity of this study given the poor survival in the controls noting the contamination within this group and recommends that </w:t>
      </w:r>
      <w:r w:rsidRPr="5430F672">
        <w:rPr>
          <w:rFonts w:eastAsia="Calibri"/>
          <w:b/>
          <w:bCs/>
        </w:rPr>
        <w:t>this data is excluded from use in the SSD.</w:t>
      </w:r>
    </w:p>
    <w:p w14:paraId="02E6A634" w14:textId="1C355EDC" w:rsidR="4113742B" w:rsidRDefault="4113742B" w:rsidP="384BFEFD">
      <w:pPr>
        <w:spacing w:after="0"/>
      </w:pPr>
      <w:r w:rsidRPr="384BFEFD">
        <w:rPr>
          <w:rFonts w:ascii="Calibri" w:eastAsia="Calibri" w:hAnsi="Calibri" w:cs="Calibri"/>
          <w:lang w:val="en-US"/>
        </w:rPr>
        <w:t xml:space="preserve"> </w:t>
      </w:r>
    </w:p>
    <w:p w14:paraId="26039100" w14:textId="7C2A61D7" w:rsidR="4113742B" w:rsidRDefault="4113742B" w:rsidP="00EE5015">
      <w:pPr>
        <w:pStyle w:val="ListParagraph"/>
        <w:numPr>
          <w:ilvl w:val="0"/>
          <w:numId w:val="24"/>
        </w:numPr>
        <w:rPr>
          <w:rFonts w:eastAsia="Calibri"/>
          <w:b/>
          <w:bCs/>
          <w:lang w:val="en-US"/>
        </w:rPr>
      </w:pPr>
      <w:r w:rsidRPr="5430F672">
        <w:rPr>
          <w:rFonts w:eastAsia="Calibri"/>
          <w:i/>
          <w:iCs/>
          <w:lang w:val="en-US"/>
        </w:rPr>
        <w:t>Daphnia magna</w:t>
      </w:r>
      <w:r w:rsidRPr="5430F672">
        <w:rPr>
          <w:rFonts w:eastAsia="Calibri"/>
          <w:lang w:val="en-US"/>
        </w:rPr>
        <w:t xml:space="preserve"> (Lu et al</w:t>
      </w:r>
      <w:r w:rsidR="00F74E89" w:rsidRPr="5430F672">
        <w:rPr>
          <w:rFonts w:eastAsia="Calibri"/>
          <w:i/>
          <w:iCs/>
          <w:lang w:val="en-US"/>
        </w:rPr>
        <w:t>.</w:t>
      </w:r>
      <w:r w:rsidRPr="5430F672">
        <w:rPr>
          <w:rFonts w:eastAsia="Calibri"/>
          <w:lang w:val="en-US"/>
        </w:rPr>
        <w:t xml:space="preserve">, 2015). The </w:t>
      </w:r>
      <w:r w:rsidR="00821568">
        <w:rPr>
          <w:rFonts w:eastAsia="Calibri"/>
          <w:lang w:val="en-US"/>
        </w:rPr>
        <w:t>DGV</w:t>
      </w:r>
      <w:r w:rsidR="00821568" w:rsidRPr="5430F672">
        <w:rPr>
          <w:rFonts w:eastAsia="Calibri"/>
          <w:lang w:val="en-US"/>
        </w:rPr>
        <w:t xml:space="preserve"> </w:t>
      </w:r>
      <w:r w:rsidRPr="5430F672">
        <w:rPr>
          <w:rFonts w:eastAsia="Calibri"/>
          <w:lang w:val="en-US"/>
        </w:rPr>
        <w:t>authors adopted a LOEC based on length and rate of population growth of 8 µg/L. The study provided biological results for 6 parameters, namely, adult body length, time to first pregnancy, time to first brood, number of first brood per female, number of offspring per brood per female, and the intrinsic rate of population growth</w:t>
      </w:r>
      <w:r w:rsidR="000F2823" w:rsidRPr="5430F672">
        <w:rPr>
          <w:rFonts w:eastAsia="Calibri"/>
          <w:lang w:val="en-US"/>
        </w:rPr>
        <w:t xml:space="preserve"> (</w:t>
      </w:r>
      <w:r w:rsidRPr="5430F672">
        <w:rPr>
          <w:rFonts w:eastAsia="Calibri"/>
          <w:lang w:val="en-US"/>
        </w:rPr>
        <w:t>r</w:t>
      </w:r>
      <w:r w:rsidR="000F2823" w:rsidRPr="5430F672">
        <w:rPr>
          <w:rFonts w:eastAsia="Calibri"/>
          <w:lang w:val="en-US"/>
        </w:rPr>
        <w:t>)</w:t>
      </w:r>
      <w:r w:rsidRPr="5430F672">
        <w:rPr>
          <w:rFonts w:eastAsia="Calibri"/>
          <w:lang w:val="en-US"/>
        </w:rPr>
        <w:t xml:space="preserve">. Two of these, adult body length and r had statistically significant effects compared </w:t>
      </w:r>
      <w:r w:rsidR="6F7000E6" w:rsidRPr="5430F672">
        <w:rPr>
          <w:rFonts w:eastAsia="Calibri"/>
          <w:lang w:val="en-US"/>
        </w:rPr>
        <w:t xml:space="preserve">to </w:t>
      </w:r>
      <w:r w:rsidRPr="5430F672">
        <w:rPr>
          <w:rFonts w:eastAsia="Calibri"/>
          <w:lang w:val="en-US"/>
        </w:rPr>
        <w:t xml:space="preserve">the control even at the lowest </w:t>
      </w:r>
      <w:r w:rsidR="61336D53" w:rsidRPr="5430F672">
        <w:rPr>
          <w:rFonts w:eastAsia="Calibri"/>
          <w:lang w:val="en-US"/>
        </w:rPr>
        <w:t>concentration</w:t>
      </w:r>
      <w:r w:rsidRPr="5430F672">
        <w:rPr>
          <w:rFonts w:eastAsia="Calibri"/>
          <w:lang w:val="en-US"/>
        </w:rPr>
        <w:t xml:space="preserve"> tested</w:t>
      </w:r>
      <w:r w:rsidR="090B60CD" w:rsidRPr="5430F672">
        <w:rPr>
          <w:rFonts w:eastAsia="Calibri"/>
          <w:lang w:val="en-US"/>
        </w:rPr>
        <w:t>,</w:t>
      </w:r>
      <w:r w:rsidRPr="5430F672">
        <w:rPr>
          <w:rFonts w:eastAsia="Calibri"/>
          <w:lang w:val="en-US"/>
        </w:rPr>
        <w:t xml:space="preserve"> resulting in </w:t>
      </w:r>
      <w:r w:rsidR="004A3724" w:rsidRPr="5430F672">
        <w:rPr>
          <w:rFonts w:eastAsia="Calibri"/>
          <w:lang w:val="en-US"/>
        </w:rPr>
        <w:t>8 µg/L</w:t>
      </w:r>
      <w:r w:rsidRPr="5430F672">
        <w:rPr>
          <w:rFonts w:eastAsia="Calibri"/>
          <w:lang w:val="en-US"/>
        </w:rPr>
        <w:t xml:space="preserve"> being deemed the study LOEC. For adult body length, no tested </w:t>
      </w:r>
      <w:r w:rsidR="000F2823" w:rsidRPr="5430F672">
        <w:rPr>
          <w:rFonts w:eastAsia="Calibri"/>
          <w:lang w:val="en-US"/>
        </w:rPr>
        <w:t xml:space="preserve">concentration </w:t>
      </w:r>
      <w:r w:rsidRPr="5430F672">
        <w:rPr>
          <w:rFonts w:eastAsia="Calibri"/>
          <w:lang w:val="en-US"/>
        </w:rPr>
        <w:t xml:space="preserve">resulted in </w:t>
      </w:r>
      <w:r w:rsidR="000F2823" w:rsidRPr="5430F672">
        <w:rPr>
          <w:rFonts w:eastAsia="Calibri"/>
          <w:lang w:val="en-US"/>
        </w:rPr>
        <w:t>≥</w:t>
      </w:r>
      <w:r w:rsidRPr="5430F672">
        <w:rPr>
          <w:rFonts w:eastAsia="Calibri"/>
          <w:lang w:val="en-US"/>
        </w:rPr>
        <w:t xml:space="preserve">10% inhibition despite all </w:t>
      </w:r>
      <w:r w:rsidR="000F2823" w:rsidRPr="5430F672">
        <w:rPr>
          <w:rFonts w:eastAsia="Calibri"/>
          <w:lang w:val="en-US"/>
        </w:rPr>
        <w:t xml:space="preserve">concentrations </w:t>
      </w:r>
      <w:r w:rsidRPr="5430F672">
        <w:rPr>
          <w:rFonts w:eastAsia="Calibri"/>
          <w:lang w:val="en-US"/>
        </w:rPr>
        <w:t xml:space="preserve">being deemed statistically significant.  For r, there was a </w:t>
      </w:r>
      <w:r w:rsidR="000F2823" w:rsidRPr="5430F672">
        <w:rPr>
          <w:rFonts w:eastAsia="Calibri"/>
          <w:lang w:val="en-US"/>
        </w:rPr>
        <w:t xml:space="preserve">concentration-response relationship </w:t>
      </w:r>
      <w:r w:rsidRPr="5430F672">
        <w:rPr>
          <w:rFonts w:eastAsia="Calibri"/>
          <w:lang w:val="en-US"/>
        </w:rPr>
        <w:t>apparent</w:t>
      </w:r>
      <w:r w:rsidR="000F2823" w:rsidRPr="5430F672">
        <w:rPr>
          <w:rFonts w:eastAsia="Calibri"/>
          <w:lang w:val="en-US"/>
        </w:rPr>
        <w:t>, although t</w:t>
      </w:r>
      <w:r w:rsidRPr="5430F672">
        <w:rPr>
          <w:rFonts w:eastAsia="Calibri"/>
          <w:lang w:val="en-US"/>
        </w:rPr>
        <w:t xml:space="preserve">he slope of the </w:t>
      </w:r>
      <w:r w:rsidR="000F2823" w:rsidRPr="5430F672">
        <w:rPr>
          <w:rFonts w:eastAsia="Calibri"/>
          <w:lang w:val="en-US"/>
        </w:rPr>
        <w:t>relationship</w:t>
      </w:r>
      <w:r w:rsidRPr="5430F672">
        <w:rPr>
          <w:rFonts w:eastAsia="Calibri"/>
          <w:lang w:val="en-US"/>
        </w:rPr>
        <w:t xml:space="preserve"> was relatively shallow.</w:t>
      </w:r>
      <w:r w:rsidR="00203A3A" w:rsidRPr="5430F672">
        <w:rPr>
          <w:rFonts w:eastAsia="Calibri"/>
          <w:lang w:val="en-US"/>
        </w:rPr>
        <w:t xml:space="preserve"> The study was performed to OECD </w:t>
      </w:r>
      <w:r w:rsidR="006879E4">
        <w:rPr>
          <w:rFonts w:eastAsia="Calibri"/>
          <w:lang w:val="en-US"/>
        </w:rPr>
        <w:t xml:space="preserve">Test Guideline </w:t>
      </w:r>
      <w:r w:rsidR="00203A3A" w:rsidRPr="5430F672">
        <w:rPr>
          <w:rFonts w:eastAsia="Calibri"/>
          <w:lang w:val="en-US"/>
        </w:rPr>
        <w:t xml:space="preserve">211. As noted in the </w:t>
      </w:r>
      <w:r w:rsidR="006879E4">
        <w:rPr>
          <w:rFonts w:eastAsia="Calibri"/>
          <w:lang w:val="en-US"/>
        </w:rPr>
        <w:t xml:space="preserve">OECD test </w:t>
      </w:r>
      <w:r w:rsidR="00203A3A" w:rsidRPr="5430F672">
        <w:rPr>
          <w:rFonts w:eastAsia="Calibri"/>
          <w:lang w:val="en-US"/>
        </w:rPr>
        <w:t>guideline, the ecologically most relevant response variable is the total number of living offspring produced per parent animal. There is a validity criterion related to reproduction in this guideline such that, for the study to be valid</w:t>
      </w:r>
      <w:r w:rsidR="6F5C6E74" w:rsidRPr="5430F672">
        <w:rPr>
          <w:rFonts w:eastAsia="Calibri"/>
          <w:lang w:val="en-US"/>
        </w:rPr>
        <w:t xml:space="preserve">, </w:t>
      </w:r>
      <w:r w:rsidR="00203A3A" w:rsidRPr="5430F672">
        <w:rPr>
          <w:rFonts w:eastAsia="Calibri"/>
          <w:lang w:val="en-US"/>
        </w:rPr>
        <w:t xml:space="preserve">the mean number of offspring produced per parent animal at the end of the test </w:t>
      </w:r>
      <w:r w:rsidR="021F91F1" w:rsidRPr="5430F672">
        <w:rPr>
          <w:rFonts w:eastAsia="Calibri"/>
          <w:lang w:val="en-US"/>
        </w:rPr>
        <w:t>should be</w:t>
      </w:r>
      <w:r w:rsidR="00203A3A" w:rsidRPr="5430F672">
        <w:rPr>
          <w:rFonts w:eastAsia="Calibri"/>
          <w:lang w:val="en-US"/>
        </w:rPr>
        <w:t xml:space="preserve"> ≥60. This was not met in the </w:t>
      </w:r>
      <w:r w:rsidR="006879E4">
        <w:rPr>
          <w:rFonts w:eastAsia="Calibri"/>
          <w:lang w:val="en-US"/>
        </w:rPr>
        <w:t xml:space="preserve">Lu et al. (2015) </w:t>
      </w:r>
      <w:r w:rsidR="00203A3A" w:rsidRPr="5430F672">
        <w:rPr>
          <w:rFonts w:eastAsia="Calibri"/>
          <w:lang w:val="en-US"/>
        </w:rPr>
        <w:t>study (mean 45.1</w:t>
      </w:r>
      <w:r w:rsidR="000E26BF" w:rsidRPr="5430F672">
        <w:rPr>
          <w:rFonts w:eastAsia="Calibri"/>
          <w:lang w:val="en-US"/>
        </w:rPr>
        <w:t xml:space="preserve"> based on reported</w:t>
      </w:r>
      <w:r w:rsidR="00203A3A" w:rsidRPr="5430F672">
        <w:rPr>
          <w:rFonts w:eastAsia="Calibri"/>
          <w:lang w:val="en-US"/>
        </w:rPr>
        <w:t xml:space="preserve"> mean number of </w:t>
      </w:r>
      <w:proofErr w:type="gramStart"/>
      <w:r w:rsidR="00203A3A" w:rsidRPr="5430F672">
        <w:rPr>
          <w:rFonts w:eastAsia="Calibri"/>
          <w:lang w:val="en-US"/>
        </w:rPr>
        <w:t>brood/female</w:t>
      </w:r>
      <w:proofErr w:type="gramEnd"/>
      <w:r w:rsidR="00203A3A" w:rsidRPr="5430F672">
        <w:rPr>
          <w:rFonts w:eastAsia="Calibri"/>
          <w:lang w:val="en-US"/>
        </w:rPr>
        <w:t xml:space="preserve"> 6.53; mean number of offspring per brood 6.91). The reproduction rate influences the intrinsic rate of population growth</w:t>
      </w:r>
      <w:r w:rsidR="006879E4">
        <w:rPr>
          <w:rFonts w:eastAsia="Calibri"/>
          <w:lang w:val="en-US"/>
        </w:rPr>
        <w:t>,</w:t>
      </w:r>
      <w:r w:rsidR="00203A3A" w:rsidRPr="5430F672">
        <w:rPr>
          <w:rFonts w:eastAsia="Calibri"/>
          <w:lang w:val="en-US"/>
        </w:rPr>
        <w:t xml:space="preserve"> so failing the validity criterion for reproduction means the study should not be relied on. </w:t>
      </w:r>
      <w:r w:rsidRPr="5430F672">
        <w:rPr>
          <w:rFonts w:eastAsia="Calibri"/>
          <w:lang w:val="en-US"/>
        </w:rPr>
        <w:t xml:space="preserve"> The </w:t>
      </w:r>
      <w:r w:rsidR="004F5713" w:rsidRPr="5430F672">
        <w:rPr>
          <w:rFonts w:eastAsia="Calibri"/>
          <w:lang w:val="en-US"/>
        </w:rPr>
        <w:t>IRC</w:t>
      </w:r>
      <w:r w:rsidRPr="5430F672">
        <w:rPr>
          <w:rFonts w:eastAsia="Calibri"/>
          <w:lang w:val="en-US"/>
        </w:rPr>
        <w:t xml:space="preserve"> </w:t>
      </w:r>
      <w:r w:rsidRPr="5430F672">
        <w:rPr>
          <w:rFonts w:eastAsia="Calibri"/>
          <w:b/>
          <w:bCs/>
          <w:lang w:val="en-US"/>
        </w:rPr>
        <w:t xml:space="preserve">recommends that this study </w:t>
      </w:r>
      <w:r w:rsidR="00203A3A" w:rsidRPr="5430F672">
        <w:rPr>
          <w:rFonts w:eastAsia="Calibri"/>
          <w:b/>
          <w:bCs/>
          <w:lang w:val="en-US"/>
        </w:rPr>
        <w:t xml:space="preserve">NOT </w:t>
      </w:r>
      <w:r w:rsidRPr="5430F672">
        <w:rPr>
          <w:rFonts w:eastAsia="Calibri"/>
          <w:b/>
          <w:bCs/>
          <w:lang w:val="en-US"/>
        </w:rPr>
        <w:t>be used in the SSD.</w:t>
      </w:r>
    </w:p>
    <w:p w14:paraId="4CA0969C" w14:textId="77777777" w:rsidR="00203A3A" w:rsidRPr="00203A3A" w:rsidRDefault="00203A3A" w:rsidP="00203A3A">
      <w:pPr>
        <w:rPr>
          <w:rFonts w:eastAsia="Calibri"/>
          <w:b/>
          <w:bCs/>
          <w:lang w:val="en-US"/>
        </w:rPr>
      </w:pPr>
    </w:p>
    <w:p w14:paraId="6EA73C8B" w14:textId="5F6647D6" w:rsidR="00203A3A" w:rsidRDefault="00203A3A" w:rsidP="008B76D7">
      <w:pPr>
        <w:spacing w:after="0"/>
        <w:ind w:left="720"/>
        <w:rPr>
          <w:rFonts w:ascii="Calibri" w:eastAsia="Calibri" w:hAnsi="Calibri" w:cs="Calibri"/>
          <w:lang w:val="en-US"/>
        </w:rPr>
      </w:pPr>
      <w:r w:rsidRPr="2C4E3B28">
        <w:rPr>
          <w:rFonts w:ascii="Calibri" w:eastAsia="Calibri" w:hAnsi="Calibri" w:cs="Calibri"/>
          <w:lang w:val="en-US"/>
        </w:rPr>
        <w:lastRenderedPageBreak/>
        <w:t xml:space="preserve">There is a second </w:t>
      </w:r>
      <w:r w:rsidRPr="2C4E3B28">
        <w:rPr>
          <w:rFonts w:ascii="Calibri" w:eastAsia="Calibri" w:hAnsi="Calibri" w:cs="Calibri"/>
          <w:i/>
          <w:iCs/>
          <w:lang w:val="en-US"/>
        </w:rPr>
        <w:t>D. magna</w:t>
      </w:r>
      <w:r w:rsidRPr="2C4E3B28">
        <w:rPr>
          <w:rFonts w:ascii="Calibri" w:eastAsia="Calibri" w:hAnsi="Calibri" w:cs="Calibri"/>
          <w:lang w:val="en-US"/>
        </w:rPr>
        <w:t xml:space="preserve"> 21-d reproduction study that followed the same OECD test guideline (Ji et al</w:t>
      </w:r>
      <w:r w:rsidR="61720489" w:rsidRPr="2C4E3B28">
        <w:rPr>
          <w:rFonts w:ascii="Calibri" w:eastAsia="Calibri" w:hAnsi="Calibri" w:cs="Calibri"/>
          <w:lang w:val="en-US"/>
        </w:rPr>
        <w:t>.</w:t>
      </w:r>
      <w:r w:rsidRPr="2C4E3B28">
        <w:rPr>
          <w:rFonts w:ascii="Calibri" w:eastAsia="Calibri" w:hAnsi="Calibri" w:cs="Calibri"/>
          <w:lang w:val="en-US"/>
        </w:rPr>
        <w:t xml:space="preserve">, 2008 (summary results in Table </w:t>
      </w:r>
      <w:r w:rsidR="00592EC5">
        <w:rPr>
          <w:rFonts w:ascii="Calibri" w:eastAsia="Calibri" w:hAnsi="Calibri" w:cs="Calibri"/>
          <w:lang w:val="en-US"/>
        </w:rPr>
        <w:t>2</w:t>
      </w:r>
      <w:r w:rsidRPr="2C4E3B28">
        <w:rPr>
          <w:rFonts w:ascii="Calibri" w:eastAsia="Calibri" w:hAnsi="Calibri" w:cs="Calibri"/>
          <w:lang w:val="en-US"/>
        </w:rPr>
        <w:t xml:space="preserve"> below)). It is unclear why the results of that test </w:t>
      </w:r>
      <w:r w:rsidR="00D37CCB">
        <w:rPr>
          <w:rFonts w:ascii="Calibri" w:eastAsia="Calibri" w:hAnsi="Calibri" w:cs="Calibri"/>
          <w:lang w:val="en-US"/>
        </w:rPr>
        <w:t>were</w:t>
      </w:r>
      <w:r w:rsidR="00D37CCB" w:rsidRPr="2C4E3B28">
        <w:rPr>
          <w:rFonts w:ascii="Calibri" w:eastAsia="Calibri" w:hAnsi="Calibri" w:cs="Calibri"/>
          <w:lang w:val="en-US"/>
        </w:rPr>
        <w:t xml:space="preserve"> </w:t>
      </w:r>
      <w:r w:rsidRPr="2C4E3B28">
        <w:rPr>
          <w:rFonts w:ascii="Calibri" w:eastAsia="Calibri" w:hAnsi="Calibri" w:cs="Calibri"/>
          <w:lang w:val="en-US"/>
        </w:rPr>
        <w:t xml:space="preserve">not included in the </w:t>
      </w:r>
      <w:r w:rsidR="00D37CCB">
        <w:rPr>
          <w:rFonts w:ascii="Calibri" w:eastAsia="Calibri" w:hAnsi="Calibri" w:cs="Calibri"/>
          <w:lang w:val="en-US"/>
        </w:rPr>
        <w:t>DGV</w:t>
      </w:r>
      <w:r w:rsidR="00D37CCB" w:rsidRPr="2C4E3B28">
        <w:rPr>
          <w:rFonts w:ascii="Calibri" w:eastAsia="Calibri" w:hAnsi="Calibri" w:cs="Calibri"/>
          <w:lang w:val="en-US"/>
        </w:rPr>
        <w:t xml:space="preserve"> </w:t>
      </w:r>
      <w:r w:rsidRPr="2C4E3B28">
        <w:rPr>
          <w:rFonts w:ascii="Calibri" w:eastAsia="Calibri" w:hAnsi="Calibri" w:cs="Calibri"/>
          <w:lang w:val="en-US"/>
        </w:rPr>
        <w:t>authors</w:t>
      </w:r>
      <w:r w:rsidR="3270C41F" w:rsidRPr="2C4E3B28">
        <w:rPr>
          <w:rFonts w:ascii="Calibri" w:eastAsia="Calibri" w:hAnsi="Calibri" w:cs="Calibri"/>
          <w:lang w:val="en-US"/>
        </w:rPr>
        <w:t>'</w:t>
      </w:r>
      <w:r w:rsidRPr="2C4E3B28">
        <w:rPr>
          <w:rFonts w:ascii="Calibri" w:eastAsia="Calibri" w:hAnsi="Calibri" w:cs="Calibri"/>
          <w:lang w:val="en-US"/>
        </w:rPr>
        <w:t xml:space="preserve"> assessment. It also measured the rate of population growth, and like the results in Lu et al</w:t>
      </w:r>
      <w:r w:rsidR="19B05357" w:rsidRPr="2C4E3B28">
        <w:rPr>
          <w:rFonts w:ascii="Calibri" w:eastAsia="Calibri" w:hAnsi="Calibri" w:cs="Calibri"/>
          <w:lang w:val="en-US"/>
        </w:rPr>
        <w:t>.</w:t>
      </w:r>
      <w:r w:rsidRPr="2C4E3B28">
        <w:rPr>
          <w:rFonts w:ascii="Calibri" w:eastAsia="Calibri" w:hAnsi="Calibri" w:cs="Calibri"/>
          <w:i/>
          <w:iCs/>
          <w:lang w:val="en-US"/>
        </w:rPr>
        <w:t xml:space="preserve"> </w:t>
      </w:r>
      <w:r w:rsidRPr="2C4E3B28">
        <w:rPr>
          <w:rFonts w:ascii="Calibri" w:eastAsia="Calibri" w:hAnsi="Calibri" w:cs="Calibri"/>
          <w:lang w:val="en-US"/>
        </w:rPr>
        <w:t>(2015), this was the most sensitive. However, the results overall were less sensitive in this study than in the Lu et al</w:t>
      </w:r>
      <w:r w:rsidR="0C7AA90C" w:rsidRPr="2C4E3B28">
        <w:rPr>
          <w:rFonts w:ascii="Calibri" w:eastAsia="Calibri" w:hAnsi="Calibri" w:cs="Calibri"/>
          <w:lang w:val="en-US"/>
        </w:rPr>
        <w:t>.</w:t>
      </w:r>
      <w:r w:rsidRPr="2C4E3B28">
        <w:rPr>
          <w:rFonts w:ascii="Calibri" w:eastAsia="Calibri" w:hAnsi="Calibri" w:cs="Calibri"/>
          <w:lang w:val="en-US"/>
        </w:rPr>
        <w:t xml:space="preserve"> study. This study also followed OECD 211 and used appropriate replication. The study was conducted under static renewal conditions with exposure to 5 concentrations. Validity criteria for adult mortality and reproduction performance were met with 100% adult survival and a mean 83.2 juveniles per female. </w:t>
      </w:r>
      <w:r w:rsidRPr="008B76D7">
        <w:rPr>
          <w:rFonts w:ascii="Calibri" w:eastAsia="Calibri" w:hAnsi="Calibri" w:cs="Calibri"/>
          <w:b/>
          <w:bCs/>
          <w:lang w:val="en-US"/>
        </w:rPr>
        <w:t xml:space="preserve">The IRC recommends the </w:t>
      </w:r>
      <w:r w:rsidR="006879E4">
        <w:rPr>
          <w:rFonts w:ascii="Calibri" w:eastAsia="Calibri" w:hAnsi="Calibri" w:cs="Calibri"/>
          <w:b/>
          <w:bCs/>
          <w:lang w:val="en-US"/>
        </w:rPr>
        <w:t>DGV</w:t>
      </w:r>
      <w:r w:rsidR="006879E4" w:rsidRPr="008B76D7">
        <w:rPr>
          <w:rFonts w:ascii="Calibri" w:eastAsia="Calibri" w:hAnsi="Calibri" w:cs="Calibri"/>
          <w:b/>
          <w:bCs/>
          <w:lang w:val="en-US"/>
        </w:rPr>
        <w:t xml:space="preserve"> </w:t>
      </w:r>
      <w:r w:rsidRPr="008B76D7">
        <w:rPr>
          <w:rFonts w:ascii="Calibri" w:eastAsia="Calibri" w:hAnsi="Calibri" w:cs="Calibri"/>
          <w:b/>
          <w:bCs/>
          <w:lang w:val="en-US"/>
        </w:rPr>
        <w:t xml:space="preserve">authors apply the mean replicate results from </w:t>
      </w:r>
      <w:r w:rsidRPr="2C4E3B28">
        <w:rPr>
          <w:rFonts w:ascii="Calibri" w:eastAsia="Calibri" w:hAnsi="Calibri" w:cs="Calibri"/>
          <w:b/>
          <w:bCs/>
          <w:lang w:val="en-US"/>
        </w:rPr>
        <w:t>Table 1 below</w:t>
      </w:r>
      <w:r w:rsidRPr="008B76D7">
        <w:rPr>
          <w:rFonts w:ascii="Calibri" w:eastAsia="Calibri" w:hAnsi="Calibri" w:cs="Calibri"/>
          <w:b/>
          <w:bCs/>
          <w:lang w:val="en-US"/>
        </w:rPr>
        <w:t xml:space="preserve"> to calculate an EC10. In doing this, it is noted </w:t>
      </w:r>
      <w:r w:rsidR="5BE40E1B" w:rsidRPr="2C4E3B28">
        <w:rPr>
          <w:rFonts w:ascii="Calibri" w:eastAsia="Calibri" w:hAnsi="Calibri" w:cs="Calibri"/>
          <w:b/>
          <w:bCs/>
          <w:lang w:val="en-US"/>
        </w:rPr>
        <w:t xml:space="preserve">that </w:t>
      </w:r>
      <w:r w:rsidRPr="008B76D7">
        <w:rPr>
          <w:rFonts w:ascii="Calibri" w:eastAsia="Calibri" w:hAnsi="Calibri" w:cs="Calibri"/>
          <w:b/>
          <w:bCs/>
          <w:lang w:val="en-US"/>
        </w:rPr>
        <w:t xml:space="preserve">there are limitations in using mean replicate results usually available in literature papers to calculate ECx values as </w:t>
      </w:r>
      <w:r w:rsidR="006879E4">
        <w:rPr>
          <w:rFonts w:ascii="Calibri" w:eastAsia="Calibri" w:hAnsi="Calibri" w:cs="Calibri"/>
          <w:b/>
          <w:bCs/>
          <w:lang w:val="en-US"/>
        </w:rPr>
        <w:t xml:space="preserve">individual </w:t>
      </w:r>
      <w:r w:rsidRPr="008B76D7">
        <w:rPr>
          <w:rFonts w:ascii="Calibri" w:eastAsia="Calibri" w:hAnsi="Calibri" w:cs="Calibri"/>
          <w:b/>
          <w:bCs/>
          <w:lang w:val="en-US"/>
        </w:rPr>
        <w:t>replicate results are not available</w:t>
      </w:r>
      <w:r w:rsidR="2E99183A" w:rsidRPr="2C4E3B28">
        <w:rPr>
          <w:rFonts w:ascii="Calibri" w:eastAsia="Calibri" w:hAnsi="Calibri" w:cs="Calibri"/>
          <w:b/>
          <w:bCs/>
          <w:lang w:val="en-US"/>
        </w:rPr>
        <w:t>,</w:t>
      </w:r>
      <w:r w:rsidRPr="008B76D7">
        <w:rPr>
          <w:rFonts w:ascii="Calibri" w:eastAsia="Calibri" w:hAnsi="Calibri" w:cs="Calibri"/>
          <w:b/>
          <w:bCs/>
          <w:lang w:val="en-US"/>
        </w:rPr>
        <w:t xml:space="preserve"> so factors such as variability and confidence intervals are not able to be calculated. Nonetheless, the </w:t>
      </w:r>
      <w:r w:rsidR="74C4529F" w:rsidRPr="2C4E3B28">
        <w:rPr>
          <w:rFonts w:ascii="Calibri" w:eastAsia="Calibri" w:hAnsi="Calibri" w:cs="Calibri"/>
          <w:b/>
          <w:bCs/>
          <w:lang w:val="en-US"/>
        </w:rPr>
        <w:t>IRC</w:t>
      </w:r>
      <w:r w:rsidRPr="008B76D7">
        <w:rPr>
          <w:rFonts w:ascii="Calibri" w:eastAsia="Calibri" w:hAnsi="Calibri" w:cs="Calibri"/>
          <w:b/>
          <w:bCs/>
          <w:lang w:val="en-US"/>
        </w:rPr>
        <w:t xml:space="preserve"> is of the view that it is still preferable to calculate an ECx where possible as these are considered more useful than lower reliability endpoints such as a NOEC or LOEC.</w:t>
      </w:r>
    </w:p>
    <w:p w14:paraId="20CA9CA8" w14:textId="77777777" w:rsidR="00203A3A" w:rsidRDefault="00203A3A" w:rsidP="00203A3A">
      <w:pPr>
        <w:spacing w:after="0"/>
      </w:pPr>
    </w:p>
    <w:p w14:paraId="17E88BC3" w14:textId="6266B9C7" w:rsidR="00203A3A" w:rsidRPr="002B0AB8" w:rsidRDefault="00203A3A" w:rsidP="002B0AB8">
      <w:pPr>
        <w:pStyle w:val="TableHeading"/>
        <w:rPr>
          <w:lang w:val="en-US"/>
        </w:rPr>
      </w:pPr>
      <w:r w:rsidRPr="002B0AB8">
        <w:rPr>
          <w:lang w:val="en-US"/>
        </w:rPr>
        <w:t xml:space="preserve">Table </w:t>
      </w:r>
      <w:r w:rsidR="00503F49" w:rsidRPr="002B0AB8">
        <w:rPr>
          <w:lang w:val="en-US"/>
        </w:rPr>
        <w:t>2</w:t>
      </w:r>
      <w:r w:rsidR="00260257">
        <w:rPr>
          <w:lang w:val="en-US"/>
        </w:rPr>
        <w:t xml:space="preserve">: </w:t>
      </w:r>
      <w:r w:rsidRPr="002B0AB8">
        <w:rPr>
          <w:lang w:val="en-US"/>
        </w:rPr>
        <w:t>Measured parameters and % inhibition to Daphnia magna, Ji et al</w:t>
      </w:r>
      <w:r w:rsidR="2F8CD327" w:rsidRPr="002B0AB8">
        <w:rPr>
          <w:lang w:val="en-US"/>
        </w:rPr>
        <w:t>.</w:t>
      </w:r>
      <w:r w:rsidRPr="002B0AB8">
        <w:rPr>
          <w:lang w:val="en-US"/>
        </w:rPr>
        <w:t xml:space="preserve"> (2008)</w:t>
      </w:r>
    </w:p>
    <w:tbl>
      <w:tblPr>
        <w:tblW w:w="0" w:type="auto"/>
        <w:tblLayout w:type="fixed"/>
        <w:tblLook w:val="06A0" w:firstRow="1" w:lastRow="0" w:firstColumn="1" w:lastColumn="0" w:noHBand="1" w:noVBand="1"/>
      </w:tblPr>
      <w:tblGrid>
        <w:gridCol w:w="1632"/>
        <w:gridCol w:w="1560"/>
        <w:gridCol w:w="2125"/>
        <w:gridCol w:w="1726"/>
        <w:gridCol w:w="2017"/>
      </w:tblGrid>
      <w:tr w:rsidR="00203A3A" w14:paraId="3C6CDF66" w14:textId="77777777" w:rsidTr="2C4E3B28">
        <w:trPr>
          <w:trHeight w:val="300"/>
        </w:trPr>
        <w:tc>
          <w:tcPr>
            <w:tcW w:w="1632" w:type="dxa"/>
            <w:tcBorders>
              <w:top w:val="single" w:sz="8" w:space="0" w:color="auto"/>
              <w:left w:val="nil"/>
              <w:bottom w:val="single" w:sz="8" w:space="0" w:color="auto"/>
              <w:right w:val="single" w:sz="8" w:space="0" w:color="auto"/>
            </w:tcBorders>
            <w:tcMar>
              <w:left w:w="40" w:type="dxa"/>
              <w:right w:w="40" w:type="dxa"/>
            </w:tcMar>
            <w:vAlign w:val="bottom"/>
          </w:tcPr>
          <w:p w14:paraId="4F466A31" w14:textId="77777777" w:rsidR="00203A3A" w:rsidRDefault="00203A3A" w:rsidP="2C4E3B28">
            <w:pPr>
              <w:spacing w:before="60" w:after="60"/>
              <w:rPr>
                <w:rFonts w:ascii="Calibri" w:eastAsia="Calibri" w:hAnsi="Calibri" w:cs="Calibri"/>
                <w:b/>
                <w:bCs/>
                <w:sz w:val="18"/>
                <w:szCs w:val="18"/>
              </w:rPr>
            </w:pPr>
            <w:r w:rsidRPr="2C4E3B28">
              <w:rPr>
                <w:rFonts w:ascii="Calibri" w:eastAsia="Calibri" w:hAnsi="Calibri" w:cs="Calibri"/>
                <w:b/>
                <w:bCs/>
                <w:sz w:val="18"/>
                <w:szCs w:val="18"/>
              </w:rPr>
              <w:t>Concentration (µg/L)</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64B609" w14:textId="77777777" w:rsidR="00203A3A" w:rsidRDefault="00203A3A" w:rsidP="2C4E3B28">
            <w:pPr>
              <w:spacing w:before="60" w:after="60"/>
              <w:jc w:val="center"/>
              <w:rPr>
                <w:rFonts w:ascii="Calibri" w:eastAsia="Calibri" w:hAnsi="Calibri" w:cs="Calibri"/>
                <w:b/>
                <w:bCs/>
                <w:color w:val="000000" w:themeColor="text1"/>
                <w:sz w:val="18"/>
                <w:szCs w:val="18"/>
              </w:rPr>
            </w:pPr>
            <w:r w:rsidRPr="2C4E3B28">
              <w:rPr>
                <w:rFonts w:ascii="Calibri" w:eastAsia="Calibri" w:hAnsi="Calibri" w:cs="Calibri"/>
                <w:b/>
                <w:bCs/>
                <w:color w:val="000000" w:themeColor="text1"/>
                <w:sz w:val="18"/>
                <w:szCs w:val="18"/>
              </w:rPr>
              <w:t>Adult length</w:t>
            </w:r>
          </w:p>
        </w:tc>
        <w:tc>
          <w:tcPr>
            <w:tcW w:w="21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A8681D" w14:textId="77777777" w:rsidR="00203A3A" w:rsidRDefault="00203A3A" w:rsidP="2C4E3B28">
            <w:pPr>
              <w:spacing w:before="60" w:after="60"/>
              <w:jc w:val="center"/>
              <w:rPr>
                <w:rFonts w:ascii="Calibri" w:eastAsia="Calibri" w:hAnsi="Calibri" w:cs="Calibri"/>
                <w:b/>
                <w:bCs/>
                <w:color w:val="000000" w:themeColor="text1"/>
                <w:sz w:val="18"/>
                <w:szCs w:val="18"/>
              </w:rPr>
            </w:pPr>
            <w:r w:rsidRPr="2C4E3B28">
              <w:rPr>
                <w:rFonts w:ascii="Calibri" w:eastAsia="Calibri" w:hAnsi="Calibri" w:cs="Calibri"/>
                <w:b/>
                <w:bCs/>
                <w:color w:val="000000" w:themeColor="text1"/>
                <w:sz w:val="18"/>
                <w:szCs w:val="18"/>
              </w:rPr>
              <w:t>No. young/adult</w:t>
            </w:r>
          </w:p>
        </w:tc>
        <w:tc>
          <w:tcPr>
            <w:tcW w:w="172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AEE923" w14:textId="77777777" w:rsidR="00203A3A" w:rsidRDefault="00203A3A" w:rsidP="2C4E3B28">
            <w:pPr>
              <w:spacing w:before="60" w:after="60"/>
              <w:jc w:val="center"/>
              <w:rPr>
                <w:rFonts w:ascii="Calibri" w:eastAsia="Calibri" w:hAnsi="Calibri" w:cs="Calibri"/>
                <w:b/>
                <w:bCs/>
                <w:color w:val="000000" w:themeColor="text1"/>
                <w:sz w:val="18"/>
                <w:szCs w:val="18"/>
              </w:rPr>
            </w:pPr>
            <w:r w:rsidRPr="2C4E3B28">
              <w:rPr>
                <w:rFonts w:ascii="Calibri" w:eastAsia="Calibri" w:hAnsi="Calibri" w:cs="Calibri"/>
                <w:b/>
                <w:bCs/>
                <w:color w:val="000000" w:themeColor="text1"/>
                <w:sz w:val="18"/>
                <w:szCs w:val="18"/>
              </w:rPr>
              <w:t>No offspring/brood</w:t>
            </w:r>
          </w:p>
        </w:tc>
        <w:tc>
          <w:tcPr>
            <w:tcW w:w="2017" w:type="dxa"/>
            <w:tcBorders>
              <w:top w:val="single" w:sz="8" w:space="0" w:color="auto"/>
              <w:left w:val="single" w:sz="8" w:space="0" w:color="auto"/>
              <w:bottom w:val="single" w:sz="8" w:space="0" w:color="auto"/>
              <w:right w:val="nil"/>
            </w:tcBorders>
            <w:tcMar>
              <w:left w:w="108" w:type="dxa"/>
              <w:right w:w="108" w:type="dxa"/>
            </w:tcMar>
            <w:vAlign w:val="bottom"/>
          </w:tcPr>
          <w:p w14:paraId="7532E44A" w14:textId="77777777" w:rsidR="00203A3A" w:rsidRDefault="00203A3A" w:rsidP="2C4E3B28">
            <w:pPr>
              <w:spacing w:before="60" w:after="60"/>
              <w:jc w:val="center"/>
              <w:rPr>
                <w:rFonts w:ascii="Calibri" w:eastAsia="Calibri" w:hAnsi="Calibri" w:cs="Calibri"/>
                <w:b/>
                <w:bCs/>
                <w:color w:val="000000" w:themeColor="text1"/>
                <w:sz w:val="18"/>
                <w:szCs w:val="18"/>
              </w:rPr>
            </w:pPr>
            <w:r w:rsidRPr="2C4E3B28">
              <w:rPr>
                <w:rFonts w:ascii="Calibri" w:eastAsia="Calibri" w:hAnsi="Calibri" w:cs="Calibri"/>
                <w:b/>
                <w:bCs/>
                <w:sz w:val="18"/>
                <w:szCs w:val="18"/>
              </w:rPr>
              <w:t>Intrinsic rate of population growth</w:t>
            </w:r>
            <w:r w:rsidRPr="2C4E3B28">
              <w:rPr>
                <w:rFonts w:ascii="Calibri" w:eastAsia="Calibri" w:hAnsi="Calibri" w:cs="Calibri"/>
                <w:b/>
                <w:bCs/>
                <w:color w:val="000000" w:themeColor="text1"/>
                <w:sz w:val="18"/>
                <w:szCs w:val="18"/>
              </w:rPr>
              <w:t xml:space="preserve"> (r)</w:t>
            </w:r>
          </w:p>
        </w:tc>
      </w:tr>
      <w:tr w:rsidR="00203A3A" w14:paraId="03A70836" w14:textId="77777777" w:rsidTr="2C4E3B28">
        <w:trPr>
          <w:trHeight w:val="300"/>
        </w:trPr>
        <w:tc>
          <w:tcPr>
            <w:tcW w:w="1632" w:type="dxa"/>
            <w:tcBorders>
              <w:top w:val="single" w:sz="8" w:space="0" w:color="auto"/>
              <w:left w:val="nil"/>
              <w:bottom w:val="single" w:sz="8" w:space="0" w:color="auto"/>
              <w:right w:val="single" w:sz="8" w:space="0" w:color="auto"/>
            </w:tcBorders>
            <w:tcMar>
              <w:left w:w="40" w:type="dxa"/>
              <w:right w:w="40" w:type="dxa"/>
            </w:tcMar>
            <w:vAlign w:val="bottom"/>
          </w:tcPr>
          <w:p w14:paraId="37C310EA" w14:textId="77777777" w:rsidR="00203A3A" w:rsidRDefault="00203A3A" w:rsidP="2C4E3B28">
            <w:pPr>
              <w:spacing w:before="60" w:after="60"/>
              <w:rPr>
                <w:rFonts w:ascii="Calibri" w:eastAsia="Calibri" w:hAnsi="Calibri" w:cs="Calibri"/>
                <w:b/>
                <w:bCs/>
                <w:color w:val="000000" w:themeColor="text1"/>
                <w:sz w:val="18"/>
                <w:szCs w:val="18"/>
              </w:rPr>
            </w:pPr>
            <w:r w:rsidRPr="2C4E3B28">
              <w:rPr>
                <w:rFonts w:ascii="Calibri" w:eastAsia="Calibri" w:hAnsi="Calibri" w:cs="Calibri"/>
                <w:b/>
                <w:bCs/>
                <w:color w:val="000000" w:themeColor="text1"/>
                <w:sz w:val="18"/>
                <w:szCs w:val="18"/>
              </w:rPr>
              <w:t>0</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16CB813"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3.61</w:t>
            </w:r>
          </w:p>
        </w:tc>
        <w:tc>
          <w:tcPr>
            <w:tcW w:w="21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DE8D4A"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83.2</w:t>
            </w:r>
          </w:p>
        </w:tc>
        <w:tc>
          <w:tcPr>
            <w:tcW w:w="172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DF284C"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16.33</w:t>
            </w:r>
          </w:p>
        </w:tc>
        <w:tc>
          <w:tcPr>
            <w:tcW w:w="2017" w:type="dxa"/>
            <w:tcBorders>
              <w:top w:val="single" w:sz="8" w:space="0" w:color="auto"/>
              <w:left w:val="single" w:sz="8" w:space="0" w:color="auto"/>
              <w:bottom w:val="single" w:sz="8" w:space="0" w:color="auto"/>
              <w:right w:val="nil"/>
            </w:tcBorders>
            <w:tcMar>
              <w:left w:w="108" w:type="dxa"/>
              <w:right w:w="108" w:type="dxa"/>
            </w:tcMar>
            <w:vAlign w:val="bottom"/>
          </w:tcPr>
          <w:p w14:paraId="1219D257"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0.403</w:t>
            </w:r>
          </w:p>
        </w:tc>
      </w:tr>
      <w:tr w:rsidR="00203A3A" w14:paraId="5D040B9D" w14:textId="77777777" w:rsidTr="2C4E3B28">
        <w:trPr>
          <w:trHeight w:val="300"/>
        </w:trPr>
        <w:tc>
          <w:tcPr>
            <w:tcW w:w="1632" w:type="dxa"/>
            <w:tcBorders>
              <w:top w:val="single" w:sz="8" w:space="0" w:color="auto"/>
              <w:left w:val="nil"/>
              <w:bottom w:val="single" w:sz="8" w:space="0" w:color="auto"/>
              <w:right w:val="single" w:sz="8" w:space="0" w:color="auto"/>
            </w:tcBorders>
            <w:tcMar>
              <w:left w:w="40" w:type="dxa"/>
              <w:right w:w="40" w:type="dxa"/>
            </w:tcMar>
            <w:vAlign w:val="bottom"/>
          </w:tcPr>
          <w:p w14:paraId="39F2A05D" w14:textId="77777777" w:rsidR="00203A3A" w:rsidRDefault="00203A3A" w:rsidP="2C4E3B28">
            <w:pPr>
              <w:spacing w:before="60" w:after="60"/>
              <w:rPr>
                <w:rFonts w:ascii="Calibri" w:eastAsia="Calibri" w:hAnsi="Calibri" w:cs="Calibri"/>
                <w:b/>
                <w:bCs/>
                <w:color w:val="000000" w:themeColor="text1"/>
                <w:sz w:val="18"/>
                <w:szCs w:val="18"/>
              </w:rPr>
            </w:pPr>
            <w:r w:rsidRPr="2C4E3B28">
              <w:rPr>
                <w:rFonts w:ascii="Calibri" w:eastAsia="Calibri" w:hAnsi="Calibri" w:cs="Calibri"/>
                <w:b/>
                <w:bCs/>
                <w:color w:val="000000" w:themeColor="text1"/>
                <w:sz w:val="18"/>
                <w:szCs w:val="18"/>
              </w:rPr>
              <w:t>312.5</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BFED1B9"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3.58</w:t>
            </w:r>
          </w:p>
        </w:tc>
        <w:tc>
          <w:tcPr>
            <w:tcW w:w="21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9C07A0D"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80.7</w:t>
            </w:r>
          </w:p>
        </w:tc>
        <w:tc>
          <w:tcPr>
            <w:tcW w:w="172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172861"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16.14</w:t>
            </w:r>
          </w:p>
        </w:tc>
        <w:tc>
          <w:tcPr>
            <w:tcW w:w="2017" w:type="dxa"/>
            <w:tcBorders>
              <w:top w:val="single" w:sz="8" w:space="0" w:color="auto"/>
              <w:left w:val="single" w:sz="8" w:space="0" w:color="auto"/>
              <w:bottom w:val="single" w:sz="8" w:space="0" w:color="auto"/>
              <w:right w:val="nil"/>
            </w:tcBorders>
            <w:tcMar>
              <w:left w:w="108" w:type="dxa"/>
              <w:right w:w="108" w:type="dxa"/>
            </w:tcMar>
            <w:vAlign w:val="bottom"/>
          </w:tcPr>
          <w:p w14:paraId="4B74DB0B"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0.388</w:t>
            </w:r>
          </w:p>
        </w:tc>
      </w:tr>
      <w:tr w:rsidR="00203A3A" w14:paraId="2490B4FC" w14:textId="77777777" w:rsidTr="2C4E3B28">
        <w:trPr>
          <w:trHeight w:val="300"/>
        </w:trPr>
        <w:tc>
          <w:tcPr>
            <w:tcW w:w="1632" w:type="dxa"/>
            <w:tcBorders>
              <w:top w:val="single" w:sz="8" w:space="0" w:color="auto"/>
              <w:left w:val="nil"/>
              <w:bottom w:val="single" w:sz="8" w:space="0" w:color="auto"/>
              <w:right w:val="single" w:sz="8" w:space="0" w:color="auto"/>
            </w:tcBorders>
            <w:tcMar>
              <w:left w:w="40" w:type="dxa"/>
              <w:right w:w="40" w:type="dxa"/>
            </w:tcMar>
            <w:vAlign w:val="bottom"/>
          </w:tcPr>
          <w:p w14:paraId="7F3E5EF9" w14:textId="77777777" w:rsidR="00203A3A" w:rsidRDefault="00203A3A" w:rsidP="2C4E3B28">
            <w:pPr>
              <w:spacing w:before="60" w:after="60"/>
              <w:rPr>
                <w:rFonts w:ascii="Calibri" w:eastAsia="Calibri" w:hAnsi="Calibri" w:cs="Calibri"/>
                <w:b/>
                <w:bCs/>
                <w:color w:val="000000" w:themeColor="text1"/>
                <w:sz w:val="18"/>
                <w:szCs w:val="18"/>
              </w:rPr>
            </w:pPr>
            <w:r w:rsidRPr="2C4E3B28">
              <w:rPr>
                <w:rFonts w:ascii="Calibri" w:eastAsia="Calibri" w:hAnsi="Calibri" w:cs="Calibri"/>
                <w:b/>
                <w:bCs/>
                <w:color w:val="000000" w:themeColor="text1"/>
                <w:sz w:val="18"/>
                <w:szCs w:val="18"/>
              </w:rPr>
              <w:t>625</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CE679A"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3.55</w:t>
            </w:r>
          </w:p>
        </w:tc>
        <w:tc>
          <w:tcPr>
            <w:tcW w:w="21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693D37"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78.3</w:t>
            </w:r>
          </w:p>
        </w:tc>
        <w:tc>
          <w:tcPr>
            <w:tcW w:w="172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5E1848"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16.01</w:t>
            </w:r>
          </w:p>
        </w:tc>
        <w:tc>
          <w:tcPr>
            <w:tcW w:w="2017" w:type="dxa"/>
            <w:tcBorders>
              <w:top w:val="single" w:sz="8" w:space="0" w:color="auto"/>
              <w:left w:val="single" w:sz="8" w:space="0" w:color="auto"/>
              <w:bottom w:val="single" w:sz="8" w:space="0" w:color="auto"/>
              <w:right w:val="nil"/>
            </w:tcBorders>
            <w:tcMar>
              <w:left w:w="108" w:type="dxa"/>
              <w:right w:w="108" w:type="dxa"/>
            </w:tcMar>
            <w:vAlign w:val="bottom"/>
          </w:tcPr>
          <w:p w14:paraId="13D66FEE"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0.371</w:t>
            </w:r>
          </w:p>
        </w:tc>
      </w:tr>
      <w:tr w:rsidR="00203A3A" w14:paraId="70C7D805" w14:textId="77777777" w:rsidTr="2C4E3B28">
        <w:trPr>
          <w:trHeight w:val="300"/>
        </w:trPr>
        <w:tc>
          <w:tcPr>
            <w:tcW w:w="1632" w:type="dxa"/>
            <w:tcBorders>
              <w:top w:val="single" w:sz="8" w:space="0" w:color="auto"/>
              <w:left w:val="nil"/>
              <w:bottom w:val="single" w:sz="8" w:space="0" w:color="auto"/>
              <w:right w:val="single" w:sz="8" w:space="0" w:color="auto"/>
            </w:tcBorders>
            <w:tcMar>
              <w:left w:w="40" w:type="dxa"/>
              <w:right w:w="40" w:type="dxa"/>
            </w:tcMar>
            <w:vAlign w:val="bottom"/>
          </w:tcPr>
          <w:p w14:paraId="5E7BF1E0" w14:textId="77777777" w:rsidR="00203A3A" w:rsidRDefault="00203A3A" w:rsidP="2C4E3B28">
            <w:pPr>
              <w:spacing w:before="60" w:after="60"/>
              <w:rPr>
                <w:rFonts w:ascii="Calibri" w:eastAsia="Calibri" w:hAnsi="Calibri" w:cs="Calibri"/>
                <w:b/>
                <w:bCs/>
                <w:color w:val="000000" w:themeColor="text1"/>
                <w:sz w:val="18"/>
                <w:szCs w:val="18"/>
              </w:rPr>
            </w:pPr>
            <w:r w:rsidRPr="2C4E3B28">
              <w:rPr>
                <w:rFonts w:ascii="Calibri" w:eastAsia="Calibri" w:hAnsi="Calibri" w:cs="Calibri"/>
                <w:b/>
                <w:bCs/>
                <w:color w:val="000000" w:themeColor="text1"/>
                <w:sz w:val="18"/>
                <w:szCs w:val="18"/>
              </w:rPr>
              <w:t>1250</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FAFF68"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3.41</w:t>
            </w:r>
          </w:p>
        </w:tc>
        <w:tc>
          <w:tcPr>
            <w:tcW w:w="21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251B3C"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78.25</w:t>
            </w:r>
          </w:p>
        </w:tc>
        <w:tc>
          <w:tcPr>
            <w:tcW w:w="172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D92C090"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16.57</w:t>
            </w:r>
          </w:p>
        </w:tc>
        <w:tc>
          <w:tcPr>
            <w:tcW w:w="2017" w:type="dxa"/>
            <w:tcBorders>
              <w:top w:val="single" w:sz="8" w:space="0" w:color="auto"/>
              <w:left w:val="single" w:sz="8" w:space="0" w:color="auto"/>
              <w:bottom w:val="single" w:sz="8" w:space="0" w:color="auto"/>
              <w:right w:val="nil"/>
            </w:tcBorders>
            <w:tcMar>
              <w:left w:w="108" w:type="dxa"/>
              <w:right w:w="108" w:type="dxa"/>
            </w:tcMar>
            <w:vAlign w:val="bottom"/>
          </w:tcPr>
          <w:p w14:paraId="71F22023"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0.35</w:t>
            </w:r>
          </w:p>
        </w:tc>
      </w:tr>
      <w:tr w:rsidR="00203A3A" w14:paraId="3C1FC943" w14:textId="77777777" w:rsidTr="2C4E3B28">
        <w:trPr>
          <w:trHeight w:val="300"/>
        </w:trPr>
        <w:tc>
          <w:tcPr>
            <w:tcW w:w="1632" w:type="dxa"/>
            <w:tcBorders>
              <w:top w:val="single" w:sz="8" w:space="0" w:color="auto"/>
              <w:left w:val="nil"/>
              <w:bottom w:val="single" w:sz="8" w:space="0" w:color="auto"/>
              <w:right w:val="single" w:sz="8" w:space="0" w:color="auto"/>
            </w:tcBorders>
            <w:tcMar>
              <w:left w:w="40" w:type="dxa"/>
              <w:right w:w="40" w:type="dxa"/>
            </w:tcMar>
            <w:vAlign w:val="bottom"/>
          </w:tcPr>
          <w:p w14:paraId="3DB73B04" w14:textId="77777777" w:rsidR="00203A3A" w:rsidRDefault="00203A3A" w:rsidP="2C4E3B28">
            <w:pPr>
              <w:spacing w:before="60" w:after="60"/>
              <w:rPr>
                <w:rFonts w:ascii="Calibri" w:eastAsia="Calibri" w:hAnsi="Calibri" w:cs="Calibri"/>
                <w:b/>
                <w:bCs/>
                <w:color w:val="000000" w:themeColor="text1"/>
                <w:sz w:val="18"/>
                <w:szCs w:val="18"/>
              </w:rPr>
            </w:pPr>
            <w:r w:rsidRPr="2C4E3B28">
              <w:rPr>
                <w:rFonts w:ascii="Calibri" w:eastAsia="Calibri" w:hAnsi="Calibri" w:cs="Calibri"/>
                <w:b/>
                <w:bCs/>
                <w:color w:val="000000" w:themeColor="text1"/>
                <w:sz w:val="18"/>
                <w:szCs w:val="18"/>
              </w:rPr>
              <w:t>2500</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5FE464"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3.34</w:t>
            </w:r>
          </w:p>
        </w:tc>
        <w:tc>
          <w:tcPr>
            <w:tcW w:w="21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C9A54C"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56.57</w:t>
            </w:r>
          </w:p>
        </w:tc>
        <w:tc>
          <w:tcPr>
            <w:tcW w:w="172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D72DB4"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12.88</w:t>
            </w:r>
          </w:p>
        </w:tc>
        <w:tc>
          <w:tcPr>
            <w:tcW w:w="2017" w:type="dxa"/>
            <w:tcBorders>
              <w:top w:val="single" w:sz="8" w:space="0" w:color="auto"/>
              <w:left w:val="single" w:sz="8" w:space="0" w:color="auto"/>
              <w:bottom w:val="single" w:sz="8" w:space="0" w:color="auto"/>
              <w:right w:val="nil"/>
            </w:tcBorders>
            <w:tcMar>
              <w:left w:w="108" w:type="dxa"/>
              <w:right w:w="108" w:type="dxa"/>
            </w:tcMar>
            <w:vAlign w:val="bottom"/>
          </w:tcPr>
          <w:p w14:paraId="420104BE"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0.291</w:t>
            </w:r>
          </w:p>
        </w:tc>
      </w:tr>
      <w:tr w:rsidR="00203A3A" w14:paraId="2BEA08C6" w14:textId="77777777" w:rsidTr="2C4E3B28">
        <w:trPr>
          <w:trHeight w:val="300"/>
        </w:trPr>
        <w:tc>
          <w:tcPr>
            <w:tcW w:w="1632" w:type="dxa"/>
            <w:tcBorders>
              <w:top w:val="single" w:sz="8" w:space="0" w:color="auto"/>
              <w:left w:val="nil"/>
              <w:bottom w:val="single" w:sz="8" w:space="0" w:color="auto"/>
              <w:right w:val="single" w:sz="8" w:space="0" w:color="auto"/>
            </w:tcBorders>
            <w:tcMar>
              <w:left w:w="40" w:type="dxa"/>
              <w:right w:w="40" w:type="dxa"/>
            </w:tcMar>
            <w:vAlign w:val="bottom"/>
          </w:tcPr>
          <w:p w14:paraId="2A78D9D2" w14:textId="77777777" w:rsidR="00203A3A" w:rsidRDefault="00203A3A" w:rsidP="2C4E3B28">
            <w:pPr>
              <w:spacing w:before="60" w:after="60"/>
              <w:rPr>
                <w:rFonts w:ascii="Calibri" w:eastAsia="Calibri" w:hAnsi="Calibri" w:cs="Calibri"/>
                <w:b/>
                <w:bCs/>
                <w:color w:val="000000" w:themeColor="text1"/>
                <w:sz w:val="18"/>
                <w:szCs w:val="18"/>
              </w:rPr>
            </w:pPr>
            <w:r w:rsidRPr="2C4E3B28">
              <w:rPr>
                <w:rFonts w:ascii="Calibri" w:eastAsia="Calibri" w:hAnsi="Calibri" w:cs="Calibri"/>
                <w:b/>
                <w:bCs/>
                <w:color w:val="000000" w:themeColor="text1"/>
                <w:sz w:val="18"/>
                <w:szCs w:val="18"/>
              </w:rPr>
              <w:t>5000</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94915E4"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3.19</w:t>
            </w:r>
          </w:p>
        </w:tc>
        <w:tc>
          <w:tcPr>
            <w:tcW w:w="21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3D9CC69"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42.4</w:t>
            </w:r>
          </w:p>
        </w:tc>
        <w:tc>
          <w:tcPr>
            <w:tcW w:w="172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837FEE"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11.08</w:t>
            </w:r>
          </w:p>
        </w:tc>
        <w:tc>
          <w:tcPr>
            <w:tcW w:w="2017" w:type="dxa"/>
            <w:tcBorders>
              <w:top w:val="single" w:sz="8" w:space="0" w:color="auto"/>
              <w:left w:val="single" w:sz="8" w:space="0" w:color="auto"/>
              <w:bottom w:val="single" w:sz="8" w:space="0" w:color="auto"/>
              <w:right w:val="nil"/>
            </w:tcBorders>
            <w:tcMar>
              <w:left w:w="108" w:type="dxa"/>
              <w:right w:w="108" w:type="dxa"/>
            </w:tcMar>
            <w:vAlign w:val="bottom"/>
          </w:tcPr>
          <w:p w14:paraId="30CFB89C"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0.196</w:t>
            </w:r>
          </w:p>
        </w:tc>
      </w:tr>
      <w:tr w:rsidR="00203A3A" w14:paraId="7F4306F1" w14:textId="77777777" w:rsidTr="2C4E3B28">
        <w:trPr>
          <w:trHeight w:val="300"/>
        </w:trPr>
        <w:tc>
          <w:tcPr>
            <w:tcW w:w="9060" w:type="dxa"/>
            <w:gridSpan w:val="5"/>
            <w:tcBorders>
              <w:top w:val="single" w:sz="8" w:space="0" w:color="auto"/>
              <w:left w:val="nil"/>
              <w:bottom w:val="single" w:sz="8" w:space="0" w:color="auto"/>
              <w:right w:val="nil"/>
            </w:tcBorders>
            <w:tcMar>
              <w:left w:w="40" w:type="dxa"/>
              <w:right w:w="40" w:type="dxa"/>
            </w:tcMar>
          </w:tcPr>
          <w:p w14:paraId="4C5F4E13" w14:textId="77777777" w:rsidR="00203A3A" w:rsidRDefault="00203A3A" w:rsidP="2C4E3B28">
            <w:pPr>
              <w:spacing w:before="60" w:after="60"/>
              <w:jc w:val="center"/>
              <w:rPr>
                <w:rFonts w:ascii="Calibri" w:eastAsia="Calibri" w:hAnsi="Calibri" w:cs="Calibri"/>
                <w:sz w:val="18"/>
                <w:szCs w:val="18"/>
              </w:rPr>
            </w:pPr>
            <w:r w:rsidRPr="2C4E3B28">
              <w:rPr>
                <w:rFonts w:ascii="Calibri" w:eastAsia="Calibri" w:hAnsi="Calibri" w:cs="Calibri"/>
                <w:sz w:val="18"/>
                <w:szCs w:val="18"/>
              </w:rPr>
              <w:t>% inhibition relative to control:</w:t>
            </w:r>
          </w:p>
        </w:tc>
      </w:tr>
      <w:tr w:rsidR="00203A3A" w14:paraId="0681CDB5" w14:textId="77777777" w:rsidTr="2C4E3B28">
        <w:trPr>
          <w:trHeight w:val="300"/>
        </w:trPr>
        <w:tc>
          <w:tcPr>
            <w:tcW w:w="1632" w:type="dxa"/>
            <w:tcBorders>
              <w:top w:val="single" w:sz="8" w:space="0" w:color="auto"/>
              <w:left w:val="nil"/>
              <w:bottom w:val="single" w:sz="8" w:space="0" w:color="auto"/>
              <w:right w:val="single" w:sz="8" w:space="0" w:color="auto"/>
            </w:tcBorders>
            <w:tcMar>
              <w:left w:w="40" w:type="dxa"/>
              <w:right w:w="40" w:type="dxa"/>
            </w:tcMar>
            <w:vAlign w:val="bottom"/>
          </w:tcPr>
          <w:p w14:paraId="496E35CD" w14:textId="77777777" w:rsidR="00203A3A" w:rsidRDefault="00203A3A" w:rsidP="2C4E3B28">
            <w:pPr>
              <w:spacing w:before="60" w:after="60"/>
              <w:rPr>
                <w:rFonts w:ascii="Calibri" w:eastAsia="Calibri" w:hAnsi="Calibri" w:cs="Calibri"/>
                <w:b/>
                <w:bCs/>
                <w:color w:val="000000" w:themeColor="text1"/>
                <w:sz w:val="18"/>
                <w:szCs w:val="18"/>
              </w:rPr>
            </w:pPr>
            <w:r w:rsidRPr="2C4E3B28">
              <w:rPr>
                <w:rFonts w:ascii="Calibri" w:eastAsia="Calibri" w:hAnsi="Calibri" w:cs="Calibri"/>
                <w:b/>
                <w:bCs/>
                <w:color w:val="000000" w:themeColor="text1"/>
                <w:sz w:val="18"/>
                <w:szCs w:val="18"/>
              </w:rPr>
              <w:t>312.5</w:t>
            </w:r>
          </w:p>
        </w:tc>
        <w:tc>
          <w:tcPr>
            <w:tcW w:w="1560" w:type="dxa"/>
            <w:tcBorders>
              <w:top w:val="nil"/>
              <w:left w:val="single" w:sz="8" w:space="0" w:color="auto"/>
              <w:bottom w:val="single" w:sz="8" w:space="0" w:color="auto"/>
              <w:right w:val="single" w:sz="8" w:space="0" w:color="auto"/>
            </w:tcBorders>
            <w:tcMar>
              <w:left w:w="108" w:type="dxa"/>
              <w:right w:w="108" w:type="dxa"/>
            </w:tcMar>
            <w:vAlign w:val="bottom"/>
          </w:tcPr>
          <w:p w14:paraId="2412C2D4"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0.8</w:t>
            </w:r>
          </w:p>
        </w:tc>
        <w:tc>
          <w:tcPr>
            <w:tcW w:w="2125" w:type="dxa"/>
            <w:tcBorders>
              <w:top w:val="nil"/>
              <w:left w:val="single" w:sz="8" w:space="0" w:color="auto"/>
              <w:bottom w:val="single" w:sz="8" w:space="0" w:color="auto"/>
              <w:right w:val="single" w:sz="8" w:space="0" w:color="auto"/>
            </w:tcBorders>
            <w:tcMar>
              <w:left w:w="108" w:type="dxa"/>
              <w:right w:w="108" w:type="dxa"/>
            </w:tcMar>
            <w:vAlign w:val="bottom"/>
          </w:tcPr>
          <w:p w14:paraId="7EC9122F"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3.0</w:t>
            </w:r>
          </w:p>
        </w:tc>
        <w:tc>
          <w:tcPr>
            <w:tcW w:w="1726" w:type="dxa"/>
            <w:tcBorders>
              <w:top w:val="nil"/>
              <w:left w:val="single" w:sz="8" w:space="0" w:color="auto"/>
              <w:bottom w:val="single" w:sz="8" w:space="0" w:color="auto"/>
              <w:right w:val="single" w:sz="8" w:space="0" w:color="auto"/>
            </w:tcBorders>
            <w:tcMar>
              <w:left w:w="108" w:type="dxa"/>
              <w:right w:w="108" w:type="dxa"/>
            </w:tcMar>
            <w:vAlign w:val="bottom"/>
          </w:tcPr>
          <w:p w14:paraId="02CB86BF"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1.2</w:t>
            </w:r>
          </w:p>
        </w:tc>
        <w:tc>
          <w:tcPr>
            <w:tcW w:w="2017" w:type="dxa"/>
            <w:tcBorders>
              <w:top w:val="nil"/>
              <w:left w:val="single" w:sz="8" w:space="0" w:color="auto"/>
              <w:bottom w:val="single" w:sz="8" w:space="0" w:color="auto"/>
              <w:right w:val="nil"/>
            </w:tcBorders>
            <w:tcMar>
              <w:left w:w="108" w:type="dxa"/>
              <w:right w:w="108" w:type="dxa"/>
            </w:tcMar>
            <w:vAlign w:val="bottom"/>
          </w:tcPr>
          <w:p w14:paraId="54FCEFA1"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3.7</w:t>
            </w:r>
          </w:p>
        </w:tc>
      </w:tr>
      <w:tr w:rsidR="00203A3A" w14:paraId="1C0252A7" w14:textId="77777777" w:rsidTr="2C4E3B28">
        <w:trPr>
          <w:trHeight w:val="300"/>
        </w:trPr>
        <w:tc>
          <w:tcPr>
            <w:tcW w:w="1632" w:type="dxa"/>
            <w:tcBorders>
              <w:top w:val="single" w:sz="8" w:space="0" w:color="auto"/>
              <w:left w:val="nil"/>
              <w:bottom w:val="single" w:sz="8" w:space="0" w:color="auto"/>
              <w:right w:val="single" w:sz="8" w:space="0" w:color="auto"/>
            </w:tcBorders>
            <w:tcMar>
              <w:left w:w="40" w:type="dxa"/>
              <w:right w:w="40" w:type="dxa"/>
            </w:tcMar>
            <w:vAlign w:val="bottom"/>
          </w:tcPr>
          <w:p w14:paraId="3CBD578B" w14:textId="77777777" w:rsidR="00203A3A" w:rsidRDefault="00203A3A" w:rsidP="2C4E3B28">
            <w:pPr>
              <w:spacing w:before="60" w:after="60"/>
              <w:rPr>
                <w:rFonts w:ascii="Calibri" w:eastAsia="Calibri" w:hAnsi="Calibri" w:cs="Calibri"/>
                <w:b/>
                <w:bCs/>
                <w:color w:val="000000" w:themeColor="text1"/>
                <w:sz w:val="18"/>
                <w:szCs w:val="18"/>
              </w:rPr>
            </w:pPr>
            <w:r w:rsidRPr="2C4E3B28">
              <w:rPr>
                <w:rFonts w:ascii="Calibri" w:eastAsia="Calibri" w:hAnsi="Calibri" w:cs="Calibri"/>
                <w:b/>
                <w:bCs/>
                <w:color w:val="000000" w:themeColor="text1"/>
                <w:sz w:val="18"/>
                <w:szCs w:val="18"/>
              </w:rPr>
              <w:t>625</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D45194"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1.7</w:t>
            </w:r>
          </w:p>
        </w:tc>
        <w:tc>
          <w:tcPr>
            <w:tcW w:w="21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4A6BB0"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5.9</w:t>
            </w:r>
          </w:p>
        </w:tc>
        <w:tc>
          <w:tcPr>
            <w:tcW w:w="172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121F5E"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2.0</w:t>
            </w:r>
          </w:p>
        </w:tc>
        <w:tc>
          <w:tcPr>
            <w:tcW w:w="2017" w:type="dxa"/>
            <w:tcBorders>
              <w:top w:val="single" w:sz="8" w:space="0" w:color="auto"/>
              <w:left w:val="single" w:sz="8" w:space="0" w:color="auto"/>
              <w:bottom w:val="single" w:sz="8" w:space="0" w:color="auto"/>
              <w:right w:val="nil"/>
            </w:tcBorders>
            <w:tcMar>
              <w:left w:w="108" w:type="dxa"/>
              <w:right w:w="108" w:type="dxa"/>
            </w:tcMar>
            <w:vAlign w:val="bottom"/>
          </w:tcPr>
          <w:p w14:paraId="764A5095"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7.9</w:t>
            </w:r>
          </w:p>
        </w:tc>
      </w:tr>
      <w:tr w:rsidR="00203A3A" w14:paraId="75486CE3" w14:textId="77777777" w:rsidTr="2C4E3B28">
        <w:trPr>
          <w:trHeight w:val="300"/>
        </w:trPr>
        <w:tc>
          <w:tcPr>
            <w:tcW w:w="1632" w:type="dxa"/>
            <w:tcBorders>
              <w:top w:val="single" w:sz="8" w:space="0" w:color="auto"/>
              <w:left w:val="nil"/>
              <w:bottom w:val="single" w:sz="8" w:space="0" w:color="auto"/>
              <w:right w:val="single" w:sz="8" w:space="0" w:color="auto"/>
            </w:tcBorders>
            <w:tcMar>
              <w:left w:w="40" w:type="dxa"/>
              <w:right w:w="40" w:type="dxa"/>
            </w:tcMar>
            <w:vAlign w:val="bottom"/>
          </w:tcPr>
          <w:p w14:paraId="20298126" w14:textId="77777777" w:rsidR="00203A3A" w:rsidRDefault="00203A3A" w:rsidP="2C4E3B28">
            <w:pPr>
              <w:spacing w:before="60" w:after="60"/>
              <w:rPr>
                <w:rFonts w:ascii="Calibri" w:eastAsia="Calibri" w:hAnsi="Calibri" w:cs="Calibri"/>
                <w:b/>
                <w:bCs/>
                <w:color w:val="000000" w:themeColor="text1"/>
                <w:sz w:val="18"/>
                <w:szCs w:val="18"/>
              </w:rPr>
            </w:pPr>
            <w:r w:rsidRPr="2C4E3B28">
              <w:rPr>
                <w:rFonts w:ascii="Calibri" w:eastAsia="Calibri" w:hAnsi="Calibri" w:cs="Calibri"/>
                <w:b/>
                <w:bCs/>
                <w:color w:val="000000" w:themeColor="text1"/>
                <w:sz w:val="18"/>
                <w:szCs w:val="18"/>
              </w:rPr>
              <w:t>1250</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4C5649"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5.5</w:t>
            </w:r>
          </w:p>
        </w:tc>
        <w:tc>
          <w:tcPr>
            <w:tcW w:w="21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97134C"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5.9</w:t>
            </w:r>
          </w:p>
        </w:tc>
        <w:tc>
          <w:tcPr>
            <w:tcW w:w="172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CC304A"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-1.5</w:t>
            </w:r>
          </w:p>
        </w:tc>
        <w:tc>
          <w:tcPr>
            <w:tcW w:w="2017" w:type="dxa"/>
            <w:tcBorders>
              <w:top w:val="single" w:sz="8" w:space="0" w:color="auto"/>
              <w:left w:val="single" w:sz="8" w:space="0" w:color="auto"/>
              <w:bottom w:val="single" w:sz="8" w:space="0" w:color="auto"/>
              <w:right w:val="nil"/>
            </w:tcBorders>
            <w:tcMar>
              <w:left w:w="108" w:type="dxa"/>
              <w:right w:w="108" w:type="dxa"/>
            </w:tcMar>
            <w:vAlign w:val="bottom"/>
          </w:tcPr>
          <w:p w14:paraId="1C654D05"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13.2</w:t>
            </w:r>
          </w:p>
        </w:tc>
      </w:tr>
      <w:tr w:rsidR="00203A3A" w14:paraId="680D8BBE" w14:textId="77777777" w:rsidTr="2C4E3B28">
        <w:trPr>
          <w:trHeight w:val="300"/>
        </w:trPr>
        <w:tc>
          <w:tcPr>
            <w:tcW w:w="1632" w:type="dxa"/>
            <w:tcBorders>
              <w:top w:val="single" w:sz="8" w:space="0" w:color="auto"/>
              <w:left w:val="nil"/>
              <w:bottom w:val="single" w:sz="8" w:space="0" w:color="auto"/>
              <w:right w:val="single" w:sz="8" w:space="0" w:color="auto"/>
            </w:tcBorders>
            <w:tcMar>
              <w:left w:w="40" w:type="dxa"/>
              <w:right w:w="40" w:type="dxa"/>
            </w:tcMar>
            <w:vAlign w:val="bottom"/>
          </w:tcPr>
          <w:p w14:paraId="768649E1" w14:textId="77777777" w:rsidR="00203A3A" w:rsidRDefault="00203A3A" w:rsidP="2C4E3B28">
            <w:pPr>
              <w:spacing w:before="60" w:after="60"/>
              <w:rPr>
                <w:rFonts w:ascii="Calibri" w:eastAsia="Calibri" w:hAnsi="Calibri" w:cs="Calibri"/>
                <w:b/>
                <w:bCs/>
                <w:color w:val="000000" w:themeColor="text1"/>
                <w:sz w:val="18"/>
                <w:szCs w:val="18"/>
              </w:rPr>
            </w:pPr>
            <w:r w:rsidRPr="2C4E3B28">
              <w:rPr>
                <w:rFonts w:ascii="Calibri" w:eastAsia="Calibri" w:hAnsi="Calibri" w:cs="Calibri"/>
                <w:b/>
                <w:bCs/>
                <w:color w:val="000000" w:themeColor="text1"/>
                <w:sz w:val="18"/>
                <w:szCs w:val="18"/>
              </w:rPr>
              <w:t>2500</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CD420A"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7.5</w:t>
            </w:r>
          </w:p>
        </w:tc>
        <w:tc>
          <w:tcPr>
            <w:tcW w:w="21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6B3282"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32.0</w:t>
            </w:r>
          </w:p>
        </w:tc>
        <w:tc>
          <w:tcPr>
            <w:tcW w:w="172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C7D5388"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21.1</w:t>
            </w:r>
          </w:p>
        </w:tc>
        <w:tc>
          <w:tcPr>
            <w:tcW w:w="2017" w:type="dxa"/>
            <w:tcBorders>
              <w:top w:val="single" w:sz="8" w:space="0" w:color="auto"/>
              <w:left w:val="single" w:sz="8" w:space="0" w:color="auto"/>
              <w:bottom w:val="single" w:sz="8" w:space="0" w:color="auto"/>
              <w:right w:val="nil"/>
            </w:tcBorders>
            <w:tcMar>
              <w:left w:w="108" w:type="dxa"/>
              <w:right w:w="108" w:type="dxa"/>
            </w:tcMar>
            <w:vAlign w:val="bottom"/>
          </w:tcPr>
          <w:p w14:paraId="7EFA6BFC"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27.8</w:t>
            </w:r>
          </w:p>
        </w:tc>
      </w:tr>
      <w:tr w:rsidR="00203A3A" w14:paraId="5D417D93" w14:textId="77777777" w:rsidTr="2C4E3B28">
        <w:trPr>
          <w:trHeight w:val="300"/>
        </w:trPr>
        <w:tc>
          <w:tcPr>
            <w:tcW w:w="1632" w:type="dxa"/>
            <w:tcBorders>
              <w:top w:val="single" w:sz="8" w:space="0" w:color="auto"/>
              <w:left w:val="nil"/>
              <w:bottom w:val="single" w:sz="8" w:space="0" w:color="auto"/>
              <w:right w:val="single" w:sz="8" w:space="0" w:color="auto"/>
            </w:tcBorders>
            <w:tcMar>
              <w:left w:w="40" w:type="dxa"/>
              <w:right w:w="40" w:type="dxa"/>
            </w:tcMar>
            <w:vAlign w:val="bottom"/>
          </w:tcPr>
          <w:p w14:paraId="6AB6F91F" w14:textId="77777777" w:rsidR="00203A3A" w:rsidRDefault="00203A3A" w:rsidP="2C4E3B28">
            <w:pPr>
              <w:spacing w:before="60" w:after="60"/>
              <w:rPr>
                <w:rFonts w:ascii="Calibri" w:eastAsia="Calibri" w:hAnsi="Calibri" w:cs="Calibri"/>
                <w:b/>
                <w:bCs/>
                <w:color w:val="000000" w:themeColor="text1"/>
                <w:sz w:val="18"/>
                <w:szCs w:val="18"/>
              </w:rPr>
            </w:pPr>
            <w:r w:rsidRPr="2C4E3B28">
              <w:rPr>
                <w:rFonts w:ascii="Calibri" w:eastAsia="Calibri" w:hAnsi="Calibri" w:cs="Calibri"/>
                <w:b/>
                <w:bCs/>
                <w:color w:val="000000" w:themeColor="text1"/>
                <w:sz w:val="18"/>
                <w:szCs w:val="18"/>
              </w:rPr>
              <w:t>5000</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801932"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11.6</w:t>
            </w:r>
          </w:p>
        </w:tc>
        <w:tc>
          <w:tcPr>
            <w:tcW w:w="21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5533B1A"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49.0</w:t>
            </w:r>
          </w:p>
        </w:tc>
        <w:tc>
          <w:tcPr>
            <w:tcW w:w="172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0F272A"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32.1</w:t>
            </w:r>
          </w:p>
        </w:tc>
        <w:tc>
          <w:tcPr>
            <w:tcW w:w="2017" w:type="dxa"/>
            <w:tcBorders>
              <w:top w:val="single" w:sz="8" w:space="0" w:color="auto"/>
              <w:left w:val="single" w:sz="8" w:space="0" w:color="auto"/>
              <w:bottom w:val="single" w:sz="8" w:space="0" w:color="auto"/>
              <w:right w:val="nil"/>
            </w:tcBorders>
            <w:tcMar>
              <w:left w:w="108" w:type="dxa"/>
              <w:right w:w="108" w:type="dxa"/>
            </w:tcMar>
            <w:vAlign w:val="bottom"/>
          </w:tcPr>
          <w:p w14:paraId="415E647A" w14:textId="77777777" w:rsidR="00203A3A" w:rsidRDefault="00203A3A" w:rsidP="2C4E3B28">
            <w:pPr>
              <w:spacing w:before="60" w:after="60"/>
              <w:jc w:val="center"/>
              <w:rPr>
                <w:rFonts w:ascii="Calibri" w:eastAsia="Calibri" w:hAnsi="Calibri" w:cs="Calibri"/>
                <w:color w:val="000000" w:themeColor="text1"/>
                <w:sz w:val="18"/>
                <w:szCs w:val="18"/>
              </w:rPr>
            </w:pPr>
            <w:r w:rsidRPr="2C4E3B28">
              <w:rPr>
                <w:rFonts w:ascii="Calibri" w:eastAsia="Calibri" w:hAnsi="Calibri" w:cs="Calibri"/>
                <w:color w:val="000000" w:themeColor="text1"/>
                <w:sz w:val="18"/>
                <w:szCs w:val="18"/>
              </w:rPr>
              <w:t>51.4</w:t>
            </w:r>
          </w:p>
        </w:tc>
      </w:tr>
    </w:tbl>
    <w:p w14:paraId="347B67C4" w14:textId="77777777" w:rsidR="00203A3A" w:rsidRDefault="00203A3A" w:rsidP="2C4E3B28">
      <w:pPr>
        <w:spacing w:after="0"/>
        <w:rPr>
          <w:rFonts w:ascii="Calibri" w:eastAsia="Calibri" w:hAnsi="Calibri" w:cs="Calibri"/>
          <w:lang w:val="en-US"/>
        </w:rPr>
      </w:pPr>
      <w:r w:rsidRPr="2C4E3B28">
        <w:rPr>
          <w:rFonts w:ascii="Calibri" w:eastAsia="Calibri" w:hAnsi="Calibri" w:cs="Calibri"/>
          <w:lang w:val="en-US"/>
        </w:rPr>
        <w:t xml:space="preserve"> </w:t>
      </w:r>
    </w:p>
    <w:p w14:paraId="7D488B3D" w14:textId="4CF46F67" w:rsidR="00203A3A" w:rsidRDefault="00203A3A" w:rsidP="2C4E3B28">
      <w:pPr>
        <w:spacing w:after="0"/>
        <w:rPr>
          <w:rFonts w:ascii="Calibri" w:eastAsia="Calibri" w:hAnsi="Calibri" w:cs="Calibri"/>
          <w:lang w:val="en-US"/>
        </w:rPr>
      </w:pPr>
      <w:r w:rsidRPr="2C4E3B28">
        <w:rPr>
          <w:rFonts w:ascii="Calibri" w:eastAsia="Calibri" w:hAnsi="Calibri" w:cs="Calibri"/>
          <w:lang w:val="en-US"/>
        </w:rPr>
        <w:t xml:space="preserve">From these results, the EC10 for the intrinsic rate of population growth was calculated to be ~900 µg/L (to be confirmed by </w:t>
      </w:r>
      <w:r w:rsidR="006879E4">
        <w:rPr>
          <w:rFonts w:ascii="Calibri" w:eastAsia="Calibri" w:hAnsi="Calibri" w:cs="Calibri"/>
          <w:lang w:val="en-US"/>
        </w:rPr>
        <w:t>DGV</w:t>
      </w:r>
      <w:r w:rsidR="006879E4" w:rsidRPr="2C4E3B28">
        <w:rPr>
          <w:rFonts w:ascii="Calibri" w:eastAsia="Calibri" w:hAnsi="Calibri" w:cs="Calibri"/>
          <w:lang w:val="en-US"/>
        </w:rPr>
        <w:t xml:space="preserve"> </w:t>
      </w:r>
      <w:r w:rsidRPr="2C4E3B28">
        <w:rPr>
          <w:rFonts w:ascii="Calibri" w:eastAsia="Calibri" w:hAnsi="Calibri" w:cs="Calibri"/>
          <w:lang w:val="en-US"/>
        </w:rPr>
        <w:t>authors) and the result did not need to be extrapolated.</w:t>
      </w:r>
    </w:p>
    <w:p w14:paraId="135B6F64" w14:textId="77777777" w:rsidR="00203A3A" w:rsidRDefault="00203A3A" w:rsidP="7EB67963">
      <w:pPr>
        <w:spacing w:after="0"/>
        <w:ind w:left="720"/>
        <w:rPr>
          <w:rFonts w:ascii="Calibri" w:eastAsia="Calibri" w:hAnsi="Calibri" w:cs="Calibri"/>
          <w:lang w:val="en-US"/>
        </w:rPr>
      </w:pPr>
    </w:p>
    <w:p w14:paraId="737B33AC" w14:textId="1B970E0B" w:rsidR="4113742B" w:rsidRDefault="4113742B" w:rsidP="384BFEFD">
      <w:pPr>
        <w:spacing w:after="0"/>
        <w:ind w:left="720"/>
      </w:pPr>
      <w:r w:rsidRPr="384BFEFD">
        <w:rPr>
          <w:rFonts w:ascii="Calibri" w:eastAsia="Calibri" w:hAnsi="Calibri" w:cs="Calibri"/>
          <w:lang w:val="en-US"/>
        </w:rPr>
        <w:t xml:space="preserve"> </w:t>
      </w:r>
    </w:p>
    <w:p w14:paraId="0081FB33" w14:textId="7AC972EC" w:rsidR="4113742B" w:rsidRDefault="4113742B" w:rsidP="00EE5015">
      <w:pPr>
        <w:pStyle w:val="ListParagraph"/>
        <w:numPr>
          <w:ilvl w:val="0"/>
          <w:numId w:val="24"/>
        </w:numPr>
        <w:rPr>
          <w:rFonts w:eastAsia="Calibri"/>
          <w:b/>
          <w:bCs/>
          <w:lang w:val="en-US"/>
        </w:rPr>
      </w:pPr>
      <w:r w:rsidRPr="2C4E3B28">
        <w:rPr>
          <w:rFonts w:eastAsia="Calibri"/>
          <w:i/>
          <w:iCs/>
          <w:lang w:val="en-US"/>
        </w:rPr>
        <w:t>Lithobates catesbeiana</w:t>
      </w:r>
      <w:r w:rsidRPr="2C4E3B28">
        <w:rPr>
          <w:rFonts w:eastAsia="Calibri"/>
          <w:lang w:val="en-US"/>
        </w:rPr>
        <w:t xml:space="preserve"> (Flynn et al</w:t>
      </w:r>
      <w:r w:rsidR="00F74E89" w:rsidRPr="2C4E3B28">
        <w:rPr>
          <w:rFonts w:eastAsia="Calibri"/>
          <w:lang w:val="en-US"/>
        </w:rPr>
        <w:t>.</w:t>
      </w:r>
      <w:r w:rsidRPr="2C4E3B28">
        <w:rPr>
          <w:rFonts w:eastAsia="Calibri"/>
          <w:lang w:val="en-US"/>
        </w:rPr>
        <w:t xml:space="preserve">, 2019). </w:t>
      </w:r>
      <w:r w:rsidR="00F228A0">
        <w:rPr>
          <w:rFonts w:eastAsia="Calibri"/>
          <w:lang w:val="en-US"/>
        </w:rPr>
        <w:t xml:space="preserve">The </w:t>
      </w:r>
      <w:r w:rsidR="00D37CCB">
        <w:rPr>
          <w:rFonts w:eastAsia="Calibri"/>
          <w:lang w:val="en-US"/>
        </w:rPr>
        <w:t xml:space="preserve">DGV </w:t>
      </w:r>
      <w:r w:rsidR="00F228A0">
        <w:rPr>
          <w:rFonts w:eastAsia="Calibri"/>
          <w:lang w:val="en-US"/>
        </w:rPr>
        <w:t>authors applied a LOEC of 144 µg/L</w:t>
      </w:r>
      <w:r w:rsidR="00D37CCB">
        <w:rPr>
          <w:rFonts w:eastAsia="Calibri"/>
          <w:lang w:val="en-US"/>
        </w:rPr>
        <w:t xml:space="preserve"> based on growth</w:t>
      </w:r>
      <w:r w:rsidR="00F228A0">
        <w:rPr>
          <w:rFonts w:eastAsia="Calibri"/>
          <w:lang w:val="en-US"/>
        </w:rPr>
        <w:t xml:space="preserve">. </w:t>
      </w:r>
      <w:r w:rsidR="00837981" w:rsidRPr="2C4E3B28">
        <w:rPr>
          <w:rFonts w:eastAsia="Calibri"/>
          <w:lang w:val="en-US"/>
        </w:rPr>
        <w:t xml:space="preserve">The paper describes initially performed acute </w:t>
      </w:r>
      <w:proofErr w:type="gramStart"/>
      <w:r w:rsidR="00837981" w:rsidRPr="2C4E3B28">
        <w:rPr>
          <w:rFonts w:eastAsia="Calibri"/>
          <w:lang w:val="en-US"/>
        </w:rPr>
        <w:t>96 hour</w:t>
      </w:r>
      <w:proofErr w:type="gramEnd"/>
      <w:r w:rsidR="00837981" w:rsidRPr="2C4E3B28">
        <w:rPr>
          <w:rFonts w:eastAsia="Calibri"/>
          <w:lang w:val="en-US"/>
        </w:rPr>
        <w:t xml:space="preserve"> toxicity studies to determine various LCx values. The final 96 h LC</w:t>
      </w:r>
      <w:r w:rsidR="00837981" w:rsidRPr="008B76D7">
        <w:rPr>
          <w:rFonts w:eastAsia="Calibri"/>
          <w:lang w:val="en-US"/>
        </w:rPr>
        <w:t>50</w:t>
      </w:r>
      <w:r w:rsidR="00837981" w:rsidRPr="2C4E3B28">
        <w:rPr>
          <w:rFonts w:eastAsia="Calibri"/>
          <w:lang w:val="en-US"/>
        </w:rPr>
        <w:t xml:space="preserve"> for PFOS to this test organism was 144 µg/L. Based on this, the chronic study was undertaken using exposure levels of </w:t>
      </w:r>
      <w:r w:rsidRPr="2C4E3B28">
        <w:rPr>
          <w:rFonts w:eastAsia="Calibri"/>
          <w:lang w:val="en-US"/>
        </w:rPr>
        <w:t xml:space="preserve">0.1% (144 µg/L) and 0.2% (288 µg/L) of LC50 concentration (nominal). Both concentrations resulted in highly significant (p&lt;0.001) reductions in mass at 42, 56, 63,70 and 72 days. Considering the </w:t>
      </w:r>
      <w:r w:rsidRPr="2C4E3B28">
        <w:rPr>
          <w:rFonts w:eastAsia="Calibri"/>
          <w:lang w:val="en-US"/>
        </w:rPr>
        <w:lastRenderedPageBreak/>
        <w:t>highly significant result, and the consistency of observations over an extended (chronic) time frame, the use of a LOEC=144</w:t>
      </w:r>
      <w:r w:rsidR="00525CAC" w:rsidRPr="2C4E3B28">
        <w:rPr>
          <w:rFonts w:eastAsia="Calibri"/>
          <w:lang w:val="en-US"/>
        </w:rPr>
        <w:t xml:space="preserve"> </w:t>
      </w:r>
      <w:r w:rsidRPr="2C4E3B28">
        <w:rPr>
          <w:rFonts w:eastAsia="Calibri"/>
          <w:lang w:val="en-US"/>
        </w:rPr>
        <w:t xml:space="preserve">µg/L is defensible, although the actual negligible effect concentration is potentially much lower. This is the only study available for this species and </w:t>
      </w:r>
      <w:r w:rsidRPr="00DE20B9">
        <w:rPr>
          <w:rFonts w:eastAsia="Calibri"/>
          <w:b/>
          <w:bCs/>
          <w:lang w:val="en-US"/>
        </w:rPr>
        <w:t xml:space="preserve">the </w:t>
      </w:r>
      <w:r w:rsidR="004F5713" w:rsidRPr="00DE20B9">
        <w:rPr>
          <w:rFonts w:eastAsia="Calibri"/>
          <w:b/>
          <w:bCs/>
          <w:lang w:val="en-US"/>
        </w:rPr>
        <w:t>IRC</w:t>
      </w:r>
      <w:r w:rsidRPr="2C4E3B28">
        <w:rPr>
          <w:rFonts w:eastAsia="Calibri"/>
          <w:lang w:val="en-US"/>
        </w:rPr>
        <w:t xml:space="preserve"> </w:t>
      </w:r>
      <w:r w:rsidRPr="2C4E3B28">
        <w:rPr>
          <w:rFonts w:eastAsia="Calibri"/>
          <w:b/>
          <w:bCs/>
          <w:lang w:val="en-US"/>
        </w:rPr>
        <w:t>recommends the LOEC should be retained for use in the SSD.</w:t>
      </w:r>
    </w:p>
    <w:p w14:paraId="325CE5AC" w14:textId="366333CE" w:rsidR="4113742B" w:rsidRDefault="4113742B" w:rsidP="384BFEFD">
      <w:pPr>
        <w:spacing w:after="0"/>
      </w:pPr>
      <w:r w:rsidRPr="384BFEFD">
        <w:rPr>
          <w:rFonts w:ascii="Calibri" w:eastAsia="Calibri" w:hAnsi="Calibri" w:cs="Calibri"/>
          <w:lang w:val="en-US"/>
        </w:rPr>
        <w:t xml:space="preserve"> </w:t>
      </w:r>
    </w:p>
    <w:p w14:paraId="1B7E724D" w14:textId="625C3558" w:rsidR="4113742B" w:rsidRDefault="4113742B" w:rsidP="00EE5015">
      <w:pPr>
        <w:pStyle w:val="ListParagraph"/>
        <w:numPr>
          <w:ilvl w:val="0"/>
          <w:numId w:val="24"/>
        </w:numPr>
        <w:rPr>
          <w:rFonts w:eastAsia="Calibri"/>
          <w:b/>
          <w:bCs/>
          <w:lang w:val="en-US"/>
        </w:rPr>
      </w:pPr>
      <w:r w:rsidRPr="5430F672">
        <w:rPr>
          <w:rFonts w:eastAsia="Calibri"/>
          <w:i/>
          <w:iCs/>
          <w:lang w:val="en-US"/>
        </w:rPr>
        <w:t>Brachionus calyciflorus</w:t>
      </w:r>
      <w:r w:rsidRPr="5430F672">
        <w:rPr>
          <w:rFonts w:eastAsia="Calibri"/>
          <w:lang w:val="en-US"/>
        </w:rPr>
        <w:t xml:space="preserve"> (Zhang et al</w:t>
      </w:r>
      <w:r w:rsidR="00F74E89" w:rsidRPr="5430F672">
        <w:rPr>
          <w:rFonts w:eastAsia="Calibri"/>
          <w:lang w:val="en-US"/>
        </w:rPr>
        <w:t>.</w:t>
      </w:r>
      <w:r w:rsidRPr="5430F672">
        <w:rPr>
          <w:rFonts w:eastAsia="Calibri"/>
          <w:lang w:val="en-US"/>
        </w:rPr>
        <w:t xml:space="preserve">, 2013). The </w:t>
      </w:r>
      <w:r w:rsidR="00525CAC" w:rsidRPr="5430F672">
        <w:rPr>
          <w:rFonts w:eastAsia="Calibri"/>
          <w:lang w:val="en-US"/>
        </w:rPr>
        <w:t xml:space="preserve">DGV </w:t>
      </w:r>
      <w:r w:rsidRPr="5430F672">
        <w:rPr>
          <w:rFonts w:eastAsia="Calibri"/>
          <w:lang w:val="en-US"/>
        </w:rPr>
        <w:t>authors adopted a LOEC of 0.25 mg/L based on population density. Exposure</w:t>
      </w:r>
      <w:r w:rsidR="1DC066C7" w:rsidRPr="5430F672">
        <w:rPr>
          <w:rFonts w:eastAsia="Calibri"/>
          <w:lang w:val="en-US"/>
        </w:rPr>
        <w:t>s were</w:t>
      </w:r>
      <w:r w:rsidRPr="5430F672">
        <w:rPr>
          <w:rFonts w:eastAsia="Calibri"/>
          <w:lang w:val="en-US"/>
        </w:rPr>
        <w:t xml:space="preserve"> </w:t>
      </w:r>
      <w:r w:rsidR="00837981" w:rsidRPr="5430F672">
        <w:rPr>
          <w:rFonts w:eastAsia="Calibri"/>
          <w:lang w:val="en-US"/>
        </w:rPr>
        <w:t>250</w:t>
      </w:r>
      <w:r w:rsidR="5413024A" w:rsidRPr="5430F672">
        <w:rPr>
          <w:rFonts w:eastAsia="Calibri"/>
          <w:lang w:val="en-US"/>
        </w:rPr>
        <w:t>,</w:t>
      </w:r>
      <w:r w:rsidRPr="5430F672">
        <w:rPr>
          <w:rFonts w:eastAsia="Calibri"/>
          <w:lang w:val="en-US"/>
        </w:rPr>
        <w:t xml:space="preserve"> </w:t>
      </w:r>
      <w:r w:rsidR="00837981" w:rsidRPr="5430F672">
        <w:rPr>
          <w:rFonts w:eastAsia="Calibri"/>
          <w:lang w:val="en-US"/>
        </w:rPr>
        <w:t>500</w:t>
      </w:r>
      <w:r w:rsidR="564B26B6" w:rsidRPr="5430F672">
        <w:rPr>
          <w:rFonts w:eastAsia="Calibri"/>
          <w:lang w:val="en-US"/>
        </w:rPr>
        <w:t>,</w:t>
      </w:r>
      <w:r w:rsidRPr="5430F672">
        <w:rPr>
          <w:rFonts w:eastAsia="Calibri"/>
          <w:lang w:val="en-US"/>
        </w:rPr>
        <w:t xml:space="preserve"> </w:t>
      </w:r>
      <w:r w:rsidR="00837981" w:rsidRPr="5430F672">
        <w:rPr>
          <w:rFonts w:eastAsia="Calibri"/>
          <w:lang w:val="en-US"/>
        </w:rPr>
        <w:t>1000</w:t>
      </w:r>
      <w:r w:rsidR="7297782F" w:rsidRPr="5430F672">
        <w:rPr>
          <w:rFonts w:eastAsia="Calibri"/>
          <w:lang w:val="en-US"/>
        </w:rPr>
        <w:t>,</w:t>
      </w:r>
      <w:r w:rsidRPr="5430F672">
        <w:rPr>
          <w:rFonts w:eastAsia="Calibri"/>
          <w:lang w:val="en-US"/>
        </w:rPr>
        <w:t xml:space="preserve"> </w:t>
      </w:r>
      <w:r w:rsidR="0B2ED517" w:rsidRPr="5430F672">
        <w:rPr>
          <w:rFonts w:eastAsia="Calibri"/>
          <w:lang w:val="en-US"/>
        </w:rPr>
        <w:t xml:space="preserve">and </w:t>
      </w:r>
      <w:r w:rsidR="00837981" w:rsidRPr="5430F672">
        <w:rPr>
          <w:rFonts w:eastAsia="Calibri"/>
          <w:lang w:val="en-US"/>
        </w:rPr>
        <w:t>2000</w:t>
      </w:r>
      <w:r w:rsidRPr="5430F672">
        <w:rPr>
          <w:rFonts w:eastAsia="Calibri"/>
          <w:lang w:val="en-US"/>
        </w:rPr>
        <w:t xml:space="preserve"> </w:t>
      </w:r>
      <w:r w:rsidR="00837981" w:rsidRPr="5430F672">
        <w:rPr>
          <w:rFonts w:eastAsia="Calibri"/>
          <w:lang w:val="en-US"/>
        </w:rPr>
        <w:t>µ</w:t>
      </w:r>
      <w:r w:rsidRPr="5430F672">
        <w:rPr>
          <w:rFonts w:eastAsia="Calibri"/>
          <w:lang w:val="en-US"/>
        </w:rPr>
        <w:t xml:space="preserve">g/L. </w:t>
      </w:r>
      <w:r w:rsidR="00174B9E" w:rsidRPr="5430F672">
        <w:rPr>
          <w:rFonts w:eastAsia="Calibri"/>
          <w:lang w:val="en-US"/>
        </w:rPr>
        <w:t>Based on an assessment of life history (</w:t>
      </w:r>
      <w:r w:rsidR="00821568">
        <w:rPr>
          <w:rFonts w:eastAsia="Calibri"/>
          <w:lang w:val="en-US"/>
        </w:rPr>
        <w:t xml:space="preserve">where </w:t>
      </w:r>
      <w:r w:rsidR="00174B9E" w:rsidRPr="5430F672">
        <w:rPr>
          <w:rFonts w:eastAsia="Calibri"/>
          <w:lang w:val="en-US"/>
        </w:rPr>
        <w:t xml:space="preserve">test duration </w:t>
      </w:r>
      <w:r w:rsidR="00821568">
        <w:rPr>
          <w:rFonts w:eastAsia="Calibri"/>
          <w:lang w:val="en-US"/>
        </w:rPr>
        <w:t xml:space="preserve">was </w:t>
      </w:r>
      <w:r w:rsidR="00174B9E" w:rsidRPr="5430F672">
        <w:rPr>
          <w:rFonts w:eastAsia="Calibri"/>
          <w:lang w:val="en-US"/>
        </w:rPr>
        <w:t xml:space="preserve">variable depending on when all individuals in each cohort died) </w:t>
      </w:r>
      <w:r w:rsidRPr="5430F672">
        <w:rPr>
          <w:rFonts w:eastAsia="Calibri"/>
          <w:lang w:val="en-US"/>
        </w:rPr>
        <w:t xml:space="preserve">(Table 1 in the literature paper), an EC10 could be calculated. </w:t>
      </w:r>
      <w:r w:rsidR="00174B9E" w:rsidRPr="5430F672">
        <w:rPr>
          <w:rFonts w:eastAsia="Calibri"/>
          <w:lang w:val="en-US"/>
        </w:rPr>
        <w:t>The most sensitive indicators of toxicity were the net reproductive rate (14.6% reduction compared to control at the lowest test concentration; indicative EC10 of 220 µg/L) and the intrinsic rate of natural increase (11.8% reduction compared to control at the lowest test concentration; indicative EC10 of 290 µ</w:t>
      </w:r>
      <w:r w:rsidR="31C546DF" w:rsidRPr="5430F672">
        <w:rPr>
          <w:rFonts w:eastAsia="Calibri"/>
          <w:lang w:val="en-US"/>
        </w:rPr>
        <w:t>g/L</w:t>
      </w:r>
      <w:r w:rsidR="00174B9E" w:rsidRPr="5430F672">
        <w:rPr>
          <w:rFonts w:eastAsia="Calibri"/>
          <w:lang w:val="en-US"/>
        </w:rPr>
        <w:t xml:space="preserve">).  </w:t>
      </w:r>
      <w:r w:rsidRPr="5430F672">
        <w:rPr>
          <w:rFonts w:eastAsia="Calibri"/>
          <w:lang w:val="en-US"/>
        </w:rPr>
        <w:t>In the next phase</w:t>
      </w:r>
      <w:r w:rsidR="00821568">
        <w:rPr>
          <w:rFonts w:eastAsia="Calibri"/>
          <w:lang w:val="en-US"/>
        </w:rPr>
        <w:t>,</w:t>
      </w:r>
      <w:r w:rsidRPr="5430F672">
        <w:rPr>
          <w:rFonts w:eastAsia="Calibri"/>
          <w:lang w:val="en-US"/>
        </w:rPr>
        <w:t xml:space="preserve"> the long-term exposure </w:t>
      </w:r>
      <w:r w:rsidR="00174B9E" w:rsidRPr="5430F672">
        <w:rPr>
          <w:rFonts w:eastAsia="Calibri"/>
          <w:lang w:val="en-US"/>
        </w:rPr>
        <w:t xml:space="preserve">(28 days) </w:t>
      </w:r>
      <w:r w:rsidRPr="5430F672">
        <w:rPr>
          <w:rFonts w:eastAsia="Calibri"/>
          <w:lang w:val="en-US"/>
        </w:rPr>
        <w:t xml:space="preserve">was only tested at the lowest two concentrations. The maximum population densities of rotifers were 14.34, 11.8, and 7.48 ind/mL in culture media containing 0.0, </w:t>
      </w:r>
      <w:r w:rsidR="00837981" w:rsidRPr="5430F672">
        <w:rPr>
          <w:rFonts w:eastAsia="Calibri"/>
          <w:lang w:val="en-US"/>
        </w:rPr>
        <w:t>250</w:t>
      </w:r>
      <w:r w:rsidRPr="5430F672">
        <w:rPr>
          <w:rFonts w:eastAsia="Calibri"/>
          <w:lang w:val="en-US"/>
        </w:rPr>
        <w:t xml:space="preserve">, and </w:t>
      </w:r>
      <w:r w:rsidR="00837981" w:rsidRPr="5430F672">
        <w:rPr>
          <w:rFonts w:eastAsia="Calibri"/>
          <w:lang w:val="en-US"/>
        </w:rPr>
        <w:t>2000</w:t>
      </w:r>
      <w:r w:rsidRPr="5430F672">
        <w:rPr>
          <w:rFonts w:eastAsia="Calibri"/>
          <w:lang w:val="en-US"/>
        </w:rPr>
        <w:t xml:space="preserve"> </w:t>
      </w:r>
      <w:r w:rsidR="00837981" w:rsidRPr="5430F672">
        <w:rPr>
          <w:rFonts w:eastAsia="Calibri"/>
          <w:lang w:val="en-US"/>
        </w:rPr>
        <w:t>µ</w:t>
      </w:r>
      <w:r w:rsidRPr="5430F672">
        <w:rPr>
          <w:rFonts w:eastAsia="Calibri"/>
          <w:lang w:val="en-US"/>
        </w:rPr>
        <w:t>g/L, respectively. The population densities decreased by 17.7% and 47.8% compared to the control, respectively. This does indicate a biologically relevant effect at the lowest concentration</w:t>
      </w:r>
      <w:r w:rsidR="00174B9E" w:rsidRPr="5430F672">
        <w:rPr>
          <w:rFonts w:eastAsia="Calibri"/>
          <w:lang w:val="en-US"/>
        </w:rPr>
        <w:t xml:space="preserve"> and appears more sensitive than results obtained in the life history tests</w:t>
      </w:r>
      <w:r w:rsidRPr="5430F672">
        <w:rPr>
          <w:rFonts w:eastAsia="Calibri"/>
          <w:lang w:val="en-US"/>
        </w:rPr>
        <w:t>. In the absence of a calculated EC10</w:t>
      </w:r>
      <w:r w:rsidR="00174B9E" w:rsidRPr="5430F672">
        <w:rPr>
          <w:rFonts w:eastAsia="Calibri"/>
          <w:lang w:val="en-US"/>
        </w:rPr>
        <w:t xml:space="preserve"> (only 2 exposure concentrations</w:t>
      </w:r>
      <w:r w:rsidR="29699138" w:rsidRPr="5430F672">
        <w:rPr>
          <w:rFonts w:eastAsia="Calibri"/>
          <w:lang w:val="en-US"/>
        </w:rPr>
        <w:t>)</w:t>
      </w:r>
      <w:r w:rsidRPr="5430F672">
        <w:rPr>
          <w:rFonts w:eastAsia="Calibri"/>
          <w:lang w:val="en-US"/>
        </w:rPr>
        <w:t xml:space="preserve">, the use of the LOEC/2.5 is defensible considering three endpoints were affected consistently with relatively tight confidence intervals. The </w:t>
      </w:r>
      <w:r w:rsidR="004F5713" w:rsidRPr="5430F672">
        <w:rPr>
          <w:rFonts w:eastAsia="Calibri"/>
          <w:lang w:val="en-US"/>
        </w:rPr>
        <w:t>IRC</w:t>
      </w:r>
      <w:r w:rsidRPr="5430F672">
        <w:rPr>
          <w:rFonts w:eastAsia="Calibri"/>
          <w:lang w:val="en-US"/>
        </w:rPr>
        <w:t xml:space="preserve"> </w:t>
      </w:r>
      <w:r w:rsidRPr="5430F672">
        <w:rPr>
          <w:rFonts w:eastAsia="Calibri"/>
          <w:b/>
          <w:bCs/>
          <w:lang w:val="en-US"/>
        </w:rPr>
        <w:t>recommends the LOEC should be retained for use in the SSD.</w:t>
      </w:r>
    </w:p>
    <w:p w14:paraId="00CB487A" w14:textId="10666E43" w:rsidR="4113742B" w:rsidRDefault="4113742B" w:rsidP="384BFEFD">
      <w:pPr>
        <w:spacing w:after="0"/>
        <w:ind w:left="720"/>
      </w:pPr>
      <w:r w:rsidRPr="384BFEFD">
        <w:rPr>
          <w:rFonts w:ascii="Calibri" w:eastAsia="Calibri" w:hAnsi="Calibri" w:cs="Calibri"/>
          <w:lang w:val="en-US"/>
        </w:rPr>
        <w:t xml:space="preserve"> </w:t>
      </w:r>
    </w:p>
    <w:p w14:paraId="70F1BE0E" w14:textId="07FE0495" w:rsidR="4113742B" w:rsidRDefault="4113742B" w:rsidP="00EE5015">
      <w:pPr>
        <w:pStyle w:val="ListParagraph"/>
        <w:numPr>
          <w:ilvl w:val="0"/>
          <w:numId w:val="24"/>
        </w:numPr>
        <w:rPr>
          <w:rFonts w:eastAsia="Calibri"/>
          <w:b/>
          <w:bCs/>
          <w:lang w:val="en-US"/>
        </w:rPr>
      </w:pPr>
      <w:r w:rsidRPr="2C4E3B28">
        <w:rPr>
          <w:rFonts w:eastAsia="Calibri"/>
          <w:i/>
          <w:iCs/>
          <w:lang w:val="en-US"/>
        </w:rPr>
        <w:t>Moina macrocopa</w:t>
      </w:r>
      <w:r w:rsidRPr="2C4E3B28">
        <w:rPr>
          <w:rFonts w:eastAsia="Calibri"/>
          <w:lang w:val="en-US"/>
        </w:rPr>
        <w:t xml:space="preserve"> (Ji et al</w:t>
      </w:r>
      <w:r w:rsidR="00F74E89" w:rsidRPr="2C4E3B28">
        <w:rPr>
          <w:rFonts w:eastAsia="Calibri"/>
          <w:lang w:val="en-US"/>
        </w:rPr>
        <w:t>.</w:t>
      </w:r>
      <w:r w:rsidRPr="2C4E3B28">
        <w:rPr>
          <w:rFonts w:eastAsia="Calibri"/>
          <w:lang w:val="en-US"/>
        </w:rPr>
        <w:t xml:space="preserve">, 2008). The </w:t>
      </w:r>
      <w:r w:rsidR="00F362F0" w:rsidRPr="2C4E3B28">
        <w:rPr>
          <w:rFonts w:eastAsia="Calibri"/>
          <w:lang w:val="en-US"/>
        </w:rPr>
        <w:t xml:space="preserve">DGV </w:t>
      </w:r>
      <w:r w:rsidRPr="2C4E3B28">
        <w:rPr>
          <w:rFonts w:eastAsia="Calibri"/>
          <w:lang w:val="en-US"/>
        </w:rPr>
        <w:t xml:space="preserve">authors adopted a LOEC of 312.5 µg/L based on reproduction. There </w:t>
      </w:r>
      <w:r w:rsidR="4557AD47" w:rsidRPr="2C4E3B28">
        <w:rPr>
          <w:rFonts w:eastAsia="Calibri"/>
          <w:lang w:val="en-US"/>
        </w:rPr>
        <w:t>wa</w:t>
      </w:r>
      <w:r w:rsidRPr="2C4E3B28">
        <w:rPr>
          <w:rFonts w:eastAsia="Calibri"/>
          <w:lang w:val="en-US"/>
        </w:rPr>
        <w:t xml:space="preserve">s sufficient information in the paper to calculate EC10 values, </w:t>
      </w:r>
      <w:r w:rsidR="00F362F0" w:rsidRPr="2C4E3B28">
        <w:rPr>
          <w:rFonts w:eastAsia="Calibri"/>
          <w:lang w:val="en-US"/>
        </w:rPr>
        <w:t xml:space="preserve">which </w:t>
      </w:r>
      <w:r w:rsidRPr="2C4E3B28">
        <w:rPr>
          <w:rFonts w:eastAsia="Calibri"/>
          <w:lang w:val="en-US"/>
        </w:rPr>
        <w:t xml:space="preserve">are preferable to the use of a LOEC. The most sensitive endpoint from this study was the number of young/adult with a statistically significant effect at the lowest concentration tested. There was a clear </w:t>
      </w:r>
      <w:r w:rsidR="1D60B41E" w:rsidRPr="2C4E3B28">
        <w:rPr>
          <w:rFonts w:eastAsia="Calibri"/>
          <w:lang w:val="en-US"/>
        </w:rPr>
        <w:t>concentration</w:t>
      </w:r>
      <w:r w:rsidR="418209E6" w:rsidRPr="2C4E3B28">
        <w:rPr>
          <w:rFonts w:eastAsia="Calibri"/>
          <w:lang w:val="en-US"/>
        </w:rPr>
        <w:t>-</w:t>
      </w:r>
      <w:r w:rsidRPr="2C4E3B28">
        <w:rPr>
          <w:rFonts w:eastAsia="Calibri"/>
          <w:lang w:val="en-US"/>
        </w:rPr>
        <w:t xml:space="preserve">response and at the lowest </w:t>
      </w:r>
      <w:r w:rsidR="00915357" w:rsidRPr="2C4E3B28">
        <w:rPr>
          <w:rFonts w:eastAsia="Calibri"/>
          <w:lang w:val="en-US"/>
        </w:rPr>
        <w:t xml:space="preserve">concentration </w:t>
      </w:r>
      <w:r w:rsidRPr="2C4E3B28">
        <w:rPr>
          <w:rFonts w:eastAsia="Calibri"/>
          <w:lang w:val="en-US"/>
        </w:rPr>
        <w:t>the %</w:t>
      </w:r>
      <w:r w:rsidR="00915357" w:rsidRPr="2C4E3B28">
        <w:rPr>
          <w:rFonts w:eastAsia="Calibri"/>
          <w:lang w:val="en-US"/>
        </w:rPr>
        <w:t xml:space="preserve"> </w:t>
      </w:r>
      <w:r w:rsidRPr="2C4E3B28">
        <w:rPr>
          <w:rFonts w:eastAsia="Calibri"/>
          <w:lang w:val="en-US"/>
        </w:rPr>
        <w:t xml:space="preserve">reduction compared to the control was 14.2%. This is shown in </w:t>
      </w:r>
      <w:r w:rsidR="037AD467" w:rsidRPr="2C4E3B28">
        <w:rPr>
          <w:rFonts w:eastAsia="Calibri"/>
          <w:lang w:val="en-US"/>
        </w:rPr>
        <w:t>T</w:t>
      </w:r>
      <w:r w:rsidRPr="2C4E3B28">
        <w:rPr>
          <w:rFonts w:eastAsia="Calibri"/>
          <w:lang w:val="en-US"/>
        </w:rPr>
        <w:t xml:space="preserve">able </w:t>
      </w:r>
      <w:r w:rsidR="00592EC5">
        <w:rPr>
          <w:rFonts w:eastAsia="Calibri"/>
          <w:lang w:val="en-US"/>
        </w:rPr>
        <w:t>3</w:t>
      </w:r>
      <w:r w:rsidR="00203A3A" w:rsidRPr="2C4E3B28">
        <w:rPr>
          <w:rFonts w:eastAsia="Calibri"/>
          <w:lang w:val="en-US"/>
        </w:rPr>
        <w:t xml:space="preserve"> </w:t>
      </w:r>
      <w:r w:rsidRPr="2C4E3B28">
        <w:rPr>
          <w:rFonts w:eastAsia="Calibri"/>
          <w:lang w:val="en-US"/>
        </w:rPr>
        <w:t>where an EC10 of 26</w:t>
      </w:r>
      <w:r w:rsidR="3AD3D9C6" w:rsidRPr="2C4E3B28">
        <w:rPr>
          <w:rFonts w:eastAsia="Calibri"/>
          <w:lang w:val="en-US"/>
        </w:rPr>
        <w:t>0</w:t>
      </w:r>
      <w:r w:rsidR="08A88A8B" w:rsidRPr="2C4E3B28">
        <w:rPr>
          <w:rFonts w:eastAsia="Calibri"/>
          <w:lang w:val="en-US"/>
        </w:rPr>
        <w:t>µ</w:t>
      </w:r>
      <w:r w:rsidR="00915357" w:rsidRPr="2C4E3B28">
        <w:rPr>
          <w:rFonts w:eastAsia="Calibri"/>
          <w:lang w:val="en-US"/>
        </w:rPr>
        <w:t>g</w:t>
      </w:r>
      <w:r w:rsidRPr="2C4E3B28">
        <w:rPr>
          <w:rFonts w:eastAsia="Calibri"/>
          <w:lang w:val="en-US"/>
        </w:rPr>
        <w:t xml:space="preserve">/L was calculated by one of the reviewers. The </w:t>
      </w:r>
      <w:r w:rsidR="004F5713" w:rsidRPr="2C4E3B28">
        <w:rPr>
          <w:rFonts w:eastAsia="Calibri"/>
          <w:lang w:val="en-US"/>
        </w:rPr>
        <w:t>IRC</w:t>
      </w:r>
      <w:r w:rsidRPr="2C4E3B28">
        <w:rPr>
          <w:rFonts w:eastAsia="Calibri"/>
          <w:lang w:val="en-US"/>
        </w:rPr>
        <w:t xml:space="preserve"> </w:t>
      </w:r>
      <w:r w:rsidRPr="2C4E3B28">
        <w:rPr>
          <w:rFonts w:eastAsia="Calibri"/>
          <w:b/>
          <w:bCs/>
          <w:lang w:val="en-US"/>
        </w:rPr>
        <w:t xml:space="preserve">recommends the </w:t>
      </w:r>
      <w:r w:rsidR="00D37CCB">
        <w:rPr>
          <w:rFonts w:eastAsia="Calibri"/>
          <w:b/>
          <w:bCs/>
          <w:lang w:val="en-US"/>
        </w:rPr>
        <w:t>DGV</w:t>
      </w:r>
      <w:r w:rsidR="00D37CCB" w:rsidRPr="2C4E3B28">
        <w:rPr>
          <w:rFonts w:eastAsia="Calibri"/>
          <w:b/>
          <w:bCs/>
          <w:lang w:val="en-US"/>
        </w:rPr>
        <w:t xml:space="preserve"> </w:t>
      </w:r>
      <w:r w:rsidRPr="2C4E3B28">
        <w:rPr>
          <w:rFonts w:eastAsia="Calibri"/>
          <w:b/>
          <w:bCs/>
          <w:lang w:val="en-US"/>
        </w:rPr>
        <w:t>authors calculate an appropriate EC10 for use in the SSD.</w:t>
      </w:r>
    </w:p>
    <w:p w14:paraId="7BE46501" w14:textId="77777777" w:rsidR="00CC7C8A" w:rsidRDefault="00CC7C8A" w:rsidP="00CC7C8A">
      <w:pPr>
        <w:pStyle w:val="ListParagraph"/>
        <w:rPr>
          <w:rFonts w:eastAsia="Calibri"/>
          <w:b/>
          <w:bCs/>
          <w:lang w:val="en-US"/>
        </w:rPr>
      </w:pPr>
    </w:p>
    <w:p w14:paraId="78D23EFE" w14:textId="0455270A" w:rsidR="004D4D6F" w:rsidRPr="00260257" w:rsidRDefault="004D4D6F" w:rsidP="00260257">
      <w:pPr>
        <w:pStyle w:val="TableHeading"/>
        <w:rPr>
          <w:lang w:val="en-US"/>
        </w:rPr>
      </w:pPr>
      <w:r w:rsidRPr="00260257">
        <w:rPr>
          <w:lang w:val="en-US"/>
        </w:rPr>
        <w:t xml:space="preserve">Table </w:t>
      </w:r>
      <w:r w:rsidR="00592EC5" w:rsidRPr="00260257">
        <w:rPr>
          <w:lang w:val="en-US"/>
        </w:rPr>
        <w:t>3</w:t>
      </w:r>
      <w:r w:rsidR="00260257">
        <w:rPr>
          <w:lang w:val="en-US"/>
        </w:rPr>
        <w:t>:</w:t>
      </w:r>
      <w:r w:rsidRPr="00260257">
        <w:rPr>
          <w:lang w:val="en-US"/>
        </w:rPr>
        <w:t xml:space="preserve"> Data from Ji et al 2008</w:t>
      </w:r>
    </w:p>
    <w:tbl>
      <w:tblPr>
        <w:tblStyle w:val="TableGrid"/>
        <w:tblW w:w="0" w:type="auto"/>
        <w:tblInd w:w="720" w:type="dxa"/>
        <w:tblLayout w:type="fixed"/>
        <w:tblLook w:val="04A0" w:firstRow="1" w:lastRow="0" w:firstColumn="1" w:lastColumn="0" w:noHBand="0" w:noVBand="1"/>
      </w:tblPr>
      <w:tblGrid>
        <w:gridCol w:w="2353"/>
        <w:gridCol w:w="2151"/>
        <w:gridCol w:w="2194"/>
      </w:tblGrid>
      <w:tr w:rsidR="384BFEFD" w14:paraId="5FAEA668" w14:textId="77777777" w:rsidTr="2C4E3B28">
        <w:trPr>
          <w:trHeight w:val="300"/>
        </w:trPr>
        <w:tc>
          <w:tcPr>
            <w:tcW w:w="235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9D29EF6" w14:textId="6C7C5621" w:rsidR="384BFEFD" w:rsidRDefault="384BFEFD" w:rsidP="384BFEFD">
            <w:pPr>
              <w:spacing w:after="60"/>
            </w:pPr>
            <w:r w:rsidRPr="384BFEFD">
              <w:rPr>
                <w:rFonts w:ascii="Calibri" w:eastAsia="Calibri" w:hAnsi="Calibri" w:cs="Calibri"/>
                <w:sz w:val="18"/>
                <w:szCs w:val="18"/>
                <w:lang w:val="en-US"/>
              </w:rPr>
              <w:t>Concentration (</w:t>
            </w:r>
            <w:r w:rsidR="00174B9E">
              <w:rPr>
                <w:rFonts w:ascii="Calibri" w:eastAsia="Calibri" w:hAnsi="Calibri" w:cs="Calibri"/>
                <w:sz w:val="18"/>
                <w:szCs w:val="18"/>
                <w:lang w:val="en-US"/>
              </w:rPr>
              <w:t>µ</w:t>
            </w:r>
            <w:r w:rsidR="00915357">
              <w:rPr>
                <w:rFonts w:ascii="Calibri" w:eastAsia="Calibri" w:hAnsi="Calibri" w:cs="Calibri"/>
                <w:sz w:val="18"/>
                <w:szCs w:val="18"/>
                <w:lang w:val="en-US"/>
              </w:rPr>
              <w:t>g/L</w:t>
            </w:r>
            <w:r w:rsidRPr="384BFEFD">
              <w:rPr>
                <w:rFonts w:ascii="Calibri" w:eastAsia="Calibri" w:hAnsi="Calibri" w:cs="Calibri"/>
                <w:sz w:val="18"/>
                <w:szCs w:val="18"/>
                <w:lang w:val="en-US"/>
              </w:rPr>
              <w:t>)</w:t>
            </w:r>
          </w:p>
        </w:tc>
        <w:tc>
          <w:tcPr>
            <w:tcW w:w="21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0D6206" w14:textId="4FDCC753" w:rsidR="384BFEFD" w:rsidRDefault="384BFEFD" w:rsidP="384BFEFD">
            <w:pPr>
              <w:spacing w:after="60"/>
              <w:jc w:val="center"/>
            </w:pPr>
            <w:r w:rsidRPr="384BFEFD">
              <w:rPr>
                <w:rFonts w:ascii="Calibri" w:eastAsia="Calibri" w:hAnsi="Calibri" w:cs="Calibri"/>
                <w:color w:val="000000" w:themeColor="text1"/>
                <w:sz w:val="18"/>
                <w:szCs w:val="18"/>
              </w:rPr>
              <w:t>No young per adult</w:t>
            </w:r>
          </w:p>
        </w:tc>
        <w:tc>
          <w:tcPr>
            <w:tcW w:w="219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5E26EC1" w14:textId="47220D3D" w:rsidR="384BFEFD" w:rsidRDefault="384BFEFD" w:rsidP="384BFEFD">
            <w:pPr>
              <w:spacing w:after="60"/>
              <w:jc w:val="center"/>
            </w:pPr>
            <w:r w:rsidRPr="384BFEFD">
              <w:rPr>
                <w:rFonts w:ascii="Calibri" w:eastAsia="Calibri" w:hAnsi="Calibri" w:cs="Calibri"/>
                <w:color w:val="000000" w:themeColor="text1"/>
                <w:sz w:val="18"/>
                <w:szCs w:val="18"/>
              </w:rPr>
              <w:t>% reduction to control</w:t>
            </w:r>
          </w:p>
        </w:tc>
      </w:tr>
      <w:tr w:rsidR="384BFEFD" w14:paraId="1CAF676E" w14:textId="77777777" w:rsidTr="2C4E3B28">
        <w:trPr>
          <w:trHeight w:val="300"/>
        </w:trPr>
        <w:tc>
          <w:tcPr>
            <w:tcW w:w="235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9BC070B" w14:textId="783B568C" w:rsidR="384BFEFD" w:rsidRDefault="384BFEFD" w:rsidP="384BFEFD">
            <w:pPr>
              <w:spacing w:after="60"/>
            </w:pPr>
            <w:r w:rsidRPr="384BFEFD">
              <w:rPr>
                <w:rFonts w:ascii="Calibri" w:eastAsia="Calibri" w:hAnsi="Calibri" w:cs="Calibri"/>
                <w:color w:val="000000" w:themeColor="text1"/>
                <w:sz w:val="18"/>
                <w:szCs w:val="18"/>
              </w:rPr>
              <w:t>0</w:t>
            </w:r>
          </w:p>
        </w:tc>
        <w:tc>
          <w:tcPr>
            <w:tcW w:w="21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1B11CD" w14:textId="3D600A20" w:rsidR="384BFEFD" w:rsidRDefault="384BFEFD" w:rsidP="384BFEFD">
            <w:pPr>
              <w:spacing w:after="60"/>
              <w:jc w:val="center"/>
            </w:pPr>
            <w:r w:rsidRPr="384BFEFD">
              <w:rPr>
                <w:rFonts w:ascii="Calibri" w:eastAsia="Calibri" w:hAnsi="Calibri" w:cs="Calibri"/>
                <w:color w:val="000000" w:themeColor="text1"/>
                <w:sz w:val="18"/>
                <w:szCs w:val="18"/>
              </w:rPr>
              <w:t>50.6</w:t>
            </w:r>
          </w:p>
        </w:tc>
        <w:tc>
          <w:tcPr>
            <w:tcW w:w="219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19E4DB" w14:textId="5E4DB49B" w:rsidR="384BFEFD" w:rsidRDefault="384BFEFD" w:rsidP="384BFEFD">
            <w:pPr>
              <w:spacing w:after="60"/>
              <w:jc w:val="center"/>
            </w:pPr>
            <w:r w:rsidRPr="384BFEFD">
              <w:rPr>
                <w:rFonts w:ascii="Calibri" w:eastAsia="Calibri" w:hAnsi="Calibri" w:cs="Calibri"/>
                <w:sz w:val="18"/>
                <w:szCs w:val="18"/>
                <w:lang w:val="en-US"/>
              </w:rPr>
              <w:t>-</w:t>
            </w:r>
          </w:p>
        </w:tc>
      </w:tr>
      <w:tr w:rsidR="384BFEFD" w14:paraId="55A1222D" w14:textId="77777777" w:rsidTr="2C4E3B28">
        <w:trPr>
          <w:trHeight w:val="300"/>
        </w:trPr>
        <w:tc>
          <w:tcPr>
            <w:tcW w:w="235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917CE2" w14:textId="79011883" w:rsidR="384BFEFD" w:rsidRDefault="00174B9E" w:rsidP="384BFEFD">
            <w:pPr>
              <w:spacing w:after="60"/>
            </w:pPr>
            <w:r>
              <w:rPr>
                <w:rFonts w:ascii="Calibri" w:eastAsia="Calibri" w:hAnsi="Calibri" w:cs="Calibri"/>
                <w:color w:val="000000" w:themeColor="text1"/>
                <w:sz w:val="18"/>
                <w:szCs w:val="18"/>
              </w:rPr>
              <w:t>312.5</w:t>
            </w:r>
          </w:p>
        </w:tc>
        <w:tc>
          <w:tcPr>
            <w:tcW w:w="21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987BE2D" w14:textId="3FAC894D" w:rsidR="384BFEFD" w:rsidRDefault="384BFEFD" w:rsidP="384BFEFD">
            <w:pPr>
              <w:spacing w:after="60"/>
              <w:jc w:val="center"/>
            </w:pPr>
            <w:r w:rsidRPr="384BFEFD">
              <w:rPr>
                <w:rFonts w:ascii="Calibri" w:eastAsia="Calibri" w:hAnsi="Calibri" w:cs="Calibri"/>
                <w:color w:val="000000" w:themeColor="text1"/>
                <w:sz w:val="18"/>
                <w:szCs w:val="18"/>
              </w:rPr>
              <w:t>43.4</w:t>
            </w:r>
          </w:p>
        </w:tc>
        <w:tc>
          <w:tcPr>
            <w:tcW w:w="219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7B8EAB" w14:textId="6CF5D702" w:rsidR="384BFEFD" w:rsidRDefault="384BFEFD" w:rsidP="384BFEFD">
            <w:pPr>
              <w:spacing w:after="60"/>
              <w:jc w:val="center"/>
            </w:pPr>
            <w:r w:rsidRPr="384BFEFD">
              <w:rPr>
                <w:rFonts w:ascii="Calibri" w:eastAsia="Calibri" w:hAnsi="Calibri" w:cs="Calibri"/>
                <w:color w:val="000000" w:themeColor="text1"/>
                <w:sz w:val="18"/>
                <w:szCs w:val="18"/>
              </w:rPr>
              <w:t>14.2</w:t>
            </w:r>
          </w:p>
        </w:tc>
      </w:tr>
      <w:tr w:rsidR="384BFEFD" w14:paraId="51E76D32" w14:textId="77777777" w:rsidTr="2C4E3B28">
        <w:trPr>
          <w:trHeight w:val="300"/>
        </w:trPr>
        <w:tc>
          <w:tcPr>
            <w:tcW w:w="235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4DD1CC" w14:textId="3A16426A" w:rsidR="384BFEFD" w:rsidRDefault="00174B9E" w:rsidP="384BFEFD">
            <w:pPr>
              <w:spacing w:after="60"/>
            </w:pPr>
            <w:r>
              <w:rPr>
                <w:rFonts w:ascii="Calibri" w:eastAsia="Calibri" w:hAnsi="Calibri" w:cs="Calibri"/>
                <w:color w:val="000000" w:themeColor="text1"/>
                <w:sz w:val="18"/>
                <w:szCs w:val="18"/>
              </w:rPr>
              <w:t>625</w:t>
            </w:r>
          </w:p>
        </w:tc>
        <w:tc>
          <w:tcPr>
            <w:tcW w:w="21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41FC3A" w14:textId="4E6AABD4" w:rsidR="384BFEFD" w:rsidRDefault="384BFEFD" w:rsidP="384BFEFD">
            <w:pPr>
              <w:spacing w:after="60"/>
              <w:jc w:val="center"/>
            </w:pPr>
            <w:r w:rsidRPr="384BFEFD">
              <w:rPr>
                <w:rFonts w:ascii="Calibri" w:eastAsia="Calibri" w:hAnsi="Calibri" w:cs="Calibri"/>
                <w:color w:val="000000" w:themeColor="text1"/>
                <w:sz w:val="18"/>
                <w:szCs w:val="18"/>
              </w:rPr>
              <w:t>33.7</w:t>
            </w:r>
          </w:p>
        </w:tc>
        <w:tc>
          <w:tcPr>
            <w:tcW w:w="219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A4A9CF4" w14:textId="1072DF82" w:rsidR="384BFEFD" w:rsidRDefault="384BFEFD" w:rsidP="384BFEFD">
            <w:pPr>
              <w:spacing w:after="60"/>
              <w:jc w:val="center"/>
            </w:pPr>
            <w:r w:rsidRPr="384BFEFD">
              <w:rPr>
                <w:rFonts w:ascii="Calibri" w:eastAsia="Calibri" w:hAnsi="Calibri" w:cs="Calibri"/>
                <w:color w:val="000000" w:themeColor="text1"/>
                <w:sz w:val="18"/>
                <w:szCs w:val="18"/>
              </w:rPr>
              <w:t>33.4</w:t>
            </w:r>
          </w:p>
        </w:tc>
      </w:tr>
      <w:tr w:rsidR="384BFEFD" w14:paraId="1AED443E" w14:textId="77777777" w:rsidTr="2C4E3B28">
        <w:trPr>
          <w:trHeight w:val="300"/>
        </w:trPr>
        <w:tc>
          <w:tcPr>
            <w:tcW w:w="235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9A1139" w14:textId="02FEBAD9" w:rsidR="384BFEFD" w:rsidRDefault="00174B9E" w:rsidP="384BFEFD">
            <w:pPr>
              <w:spacing w:after="60"/>
            </w:pPr>
            <w:r>
              <w:rPr>
                <w:rFonts w:ascii="Calibri" w:eastAsia="Calibri" w:hAnsi="Calibri" w:cs="Calibri"/>
                <w:color w:val="000000" w:themeColor="text1"/>
                <w:sz w:val="18"/>
                <w:szCs w:val="18"/>
              </w:rPr>
              <w:t>1250</w:t>
            </w:r>
          </w:p>
        </w:tc>
        <w:tc>
          <w:tcPr>
            <w:tcW w:w="21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1D7F01" w14:textId="3333E0ED" w:rsidR="384BFEFD" w:rsidRDefault="384BFEFD" w:rsidP="384BFEFD">
            <w:pPr>
              <w:spacing w:after="60"/>
              <w:jc w:val="center"/>
            </w:pPr>
            <w:r w:rsidRPr="384BFEFD">
              <w:rPr>
                <w:rFonts w:ascii="Calibri" w:eastAsia="Calibri" w:hAnsi="Calibri" w:cs="Calibri"/>
                <w:color w:val="000000" w:themeColor="text1"/>
                <w:sz w:val="18"/>
                <w:szCs w:val="18"/>
              </w:rPr>
              <w:t>29</w:t>
            </w:r>
          </w:p>
        </w:tc>
        <w:tc>
          <w:tcPr>
            <w:tcW w:w="219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0AF40C" w14:textId="2E76AAE9" w:rsidR="384BFEFD" w:rsidRDefault="384BFEFD" w:rsidP="384BFEFD">
            <w:pPr>
              <w:spacing w:after="60"/>
              <w:jc w:val="center"/>
            </w:pPr>
            <w:r w:rsidRPr="384BFEFD">
              <w:rPr>
                <w:rFonts w:ascii="Calibri" w:eastAsia="Calibri" w:hAnsi="Calibri" w:cs="Calibri"/>
                <w:color w:val="000000" w:themeColor="text1"/>
                <w:sz w:val="18"/>
                <w:szCs w:val="18"/>
              </w:rPr>
              <w:t>42.7</w:t>
            </w:r>
          </w:p>
        </w:tc>
      </w:tr>
      <w:tr w:rsidR="384BFEFD" w14:paraId="52EB6234" w14:textId="77777777" w:rsidTr="2C4E3B28">
        <w:trPr>
          <w:trHeight w:val="300"/>
        </w:trPr>
        <w:tc>
          <w:tcPr>
            <w:tcW w:w="235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A6B2C55" w14:textId="0152BE40" w:rsidR="384BFEFD" w:rsidRDefault="00174B9E" w:rsidP="384BFEFD">
            <w:pPr>
              <w:spacing w:after="60"/>
            </w:pPr>
            <w:r>
              <w:rPr>
                <w:rFonts w:ascii="Calibri" w:eastAsia="Calibri" w:hAnsi="Calibri" w:cs="Calibri"/>
                <w:color w:val="000000" w:themeColor="text1"/>
                <w:sz w:val="18"/>
                <w:szCs w:val="18"/>
              </w:rPr>
              <w:t>2500</w:t>
            </w:r>
          </w:p>
        </w:tc>
        <w:tc>
          <w:tcPr>
            <w:tcW w:w="21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8131E06" w14:textId="71955D67" w:rsidR="384BFEFD" w:rsidRDefault="384BFEFD" w:rsidP="384BFEFD">
            <w:pPr>
              <w:spacing w:after="60"/>
              <w:jc w:val="center"/>
            </w:pPr>
            <w:r w:rsidRPr="384BFEFD">
              <w:rPr>
                <w:rFonts w:ascii="Calibri" w:eastAsia="Calibri" w:hAnsi="Calibri" w:cs="Calibri"/>
                <w:color w:val="000000" w:themeColor="text1"/>
                <w:sz w:val="18"/>
                <w:szCs w:val="18"/>
              </w:rPr>
              <w:t>24</w:t>
            </w:r>
          </w:p>
        </w:tc>
        <w:tc>
          <w:tcPr>
            <w:tcW w:w="219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7FFEB6" w14:textId="3B879147" w:rsidR="384BFEFD" w:rsidRDefault="384BFEFD" w:rsidP="384BFEFD">
            <w:pPr>
              <w:spacing w:after="60"/>
              <w:jc w:val="center"/>
            </w:pPr>
            <w:r w:rsidRPr="384BFEFD">
              <w:rPr>
                <w:rFonts w:ascii="Calibri" w:eastAsia="Calibri" w:hAnsi="Calibri" w:cs="Calibri"/>
                <w:color w:val="000000" w:themeColor="text1"/>
                <w:sz w:val="18"/>
                <w:szCs w:val="18"/>
              </w:rPr>
              <w:t>52.6</w:t>
            </w:r>
          </w:p>
        </w:tc>
      </w:tr>
      <w:tr w:rsidR="384BFEFD" w14:paraId="177E4FBF" w14:textId="77777777" w:rsidTr="2C4E3B28">
        <w:trPr>
          <w:trHeight w:val="300"/>
        </w:trPr>
        <w:tc>
          <w:tcPr>
            <w:tcW w:w="235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F5CC27" w14:textId="4C0A2FCB" w:rsidR="384BFEFD" w:rsidRDefault="384BFEFD" w:rsidP="384BFEFD">
            <w:pPr>
              <w:spacing w:after="60"/>
            </w:pPr>
            <w:r w:rsidRPr="384BFEFD">
              <w:rPr>
                <w:rFonts w:ascii="Calibri" w:eastAsia="Calibri" w:hAnsi="Calibri" w:cs="Calibri"/>
                <w:color w:val="000000" w:themeColor="text1"/>
                <w:sz w:val="18"/>
                <w:szCs w:val="18"/>
              </w:rPr>
              <w:t>5</w:t>
            </w:r>
          </w:p>
        </w:tc>
        <w:tc>
          <w:tcPr>
            <w:tcW w:w="21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58E45A0" w14:textId="29AE6C88" w:rsidR="384BFEFD" w:rsidRDefault="384BFEFD" w:rsidP="384BFEFD">
            <w:pPr>
              <w:spacing w:after="60"/>
              <w:jc w:val="center"/>
            </w:pPr>
            <w:r w:rsidRPr="384BFEFD">
              <w:rPr>
                <w:rFonts w:ascii="Calibri" w:eastAsia="Calibri" w:hAnsi="Calibri" w:cs="Calibri"/>
                <w:color w:val="000000" w:themeColor="text1"/>
                <w:sz w:val="18"/>
                <w:szCs w:val="18"/>
              </w:rPr>
              <w:t>20.25</w:t>
            </w:r>
          </w:p>
        </w:tc>
        <w:tc>
          <w:tcPr>
            <w:tcW w:w="219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630819C" w14:textId="6A4E4BBD" w:rsidR="384BFEFD" w:rsidRDefault="384BFEFD" w:rsidP="384BFEFD">
            <w:pPr>
              <w:spacing w:after="60"/>
              <w:jc w:val="center"/>
            </w:pPr>
            <w:r w:rsidRPr="384BFEFD">
              <w:rPr>
                <w:rFonts w:ascii="Calibri" w:eastAsia="Calibri" w:hAnsi="Calibri" w:cs="Calibri"/>
                <w:color w:val="000000" w:themeColor="text1"/>
                <w:sz w:val="18"/>
                <w:szCs w:val="18"/>
              </w:rPr>
              <w:t>60.0</w:t>
            </w:r>
          </w:p>
        </w:tc>
      </w:tr>
      <w:tr w:rsidR="384BFEFD" w14:paraId="5F939534" w14:textId="77777777" w:rsidTr="2C4E3B28">
        <w:trPr>
          <w:trHeight w:val="300"/>
        </w:trPr>
        <w:tc>
          <w:tcPr>
            <w:tcW w:w="235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6B50904" w14:textId="3680DD6E" w:rsidR="384BFEFD" w:rsidRDefault="384BFEFD" w:rsidP="384BFEFD">
            <w:pPr>
              <w:spacing w:after="60"/>
            </w:pPr>
            <w:r w:rsidRPr="384BFEFD">
              <w:rPr>
                <w:rFonts w:ascii="Calibri" w:eastAsia="Calibri" w:hAnsi="Calibri" w:cs="Calibri"/>
                <w:color w:val="000000" w:themeColor="text1"/>
                <w:sz w:val="18"/>
                <w:szCs w:val="18"/>
              </w:rPr>
              <w:t>EC10 (Weibull model)</w:t>
            </w:r>
          </w:p>
        </w:tc>
        <w:tc>
          <w:tcPr>
            <w:tcW w:w="21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81FCED0" w14:textId="3BA1100A" w:rsidR="384BFEFD" w:rsidRDefault="384BFEFD" w:rsidP="384BFEFD">
            <w:pPr>
              <w:spacing w:after="60"/>
              <w:jc w:val="center"/>
            </w:pPr>
            <w:r w:rsidRPr="384BFEFD">
              <w:rPr>
                <w:rFonts w:ascii="Calibri" w:eastAsia="Calibri" w:hAnsi="Calibri" w:cs="Calibri"/>
                <w:sz w:val="18"/>
                <w:szCs w:val="18"/>
                <w:lang w:val="en-US"/>
              </w:rPr>
              <w:t xml:space="preserve"> </w:t>
            </w:r>
          </w:p>
        </w:tc>
        <w:tc>
          <w:tcPr>
            <w:tcW w:w="219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5697A5" w14:textId="20DA3681" w:rsidR="384BFEFD" w:rsidRDefault="00174B9E" w:rsidP="384BFEFD">
            <w:pPr>
              <w:spacing w:after="60"/>
              <w:jc w:val="center"/>
            </w:pPr>
            <w:r w:rsidRPr="2C4E3B28">
              <w:rPr>
                <w:rFonts w:ascii="Calibri" w:eastAsia="Calibri" w:hAnsi="Calibri" w:cs="Calibri"/>
                <w:color w:val="000000" w:themeColor="text1"/>
                <w:sz w:val="18"/>
                <w:szCs w:val="18"/>
              </w:rPr>
              <w:t>260 µ</w:t>
            </w:r>
            <w:r w:rsidR="66F897B7" w:rsidRPr="2C4E3B28">
              <w:rPr>
                <w:rFonts w:ascii="Calibri" w:eastAsia="Calibri" w:hAnsi="Calibri" w:cs="Calibri"/>
                <w:color w:val="000000" w:themeColor="text1"/>
                <w:sz w:val="18"/>
                <w:szCs w:val="18"/>
              </w:rPr>
              <w:t>g</w:t>
            </w:r>
            <w:r w:rsidR="00915357" w:rsidRPr="2C4E3B28">
              <w:rPr>
                <w:rFonts w:ascii="Calibri" w:eastAsia="Calibri" w:hAnsi="Calibri" w:cs="Calibri"/>
                <w:color w:val="000000" w:themeColor="text1"/>
                <w:sz w:val="18"/>
                <w:szCs w:val="18"/>
              </w:rPr>
              <w:t>/L</w:t>
            </w:r>
          </w:p>
        </w:tc>
      </w:tr>
    </w:tbl>
    <w:p w14:paraId="73751E34" w14:textId="411CF922" w:rsidR="4113742B" w:rsidRDefault="4113742B" w:rsidP="384BFEFD">
      <w:pPr>
        <w:spacing w:after="0"/>
        <w:ind w:left="720"/>
      </w:pPr>
      <w:r w:rsidRPr="384BFEFD">
        <w:rPr>
          <w:rFonts w:ascii="Calibri" w:eastAsia="Calibri" w:hAnsi="Calibri" w:cs="Calibri"/>
          <w:lang w:val="en-US"/>
        </w:rPr>
        <w:t xml:space="preserve"> </w:t>
      </w:r>
    </w:p>
    <w:p w14:paraId="2CBA040D" w14:textId="15D01B10" w:rsidR="4113742B" w:rsidRDefault="4113742B" w:rsidP="00EE5015">
      <w:pPr>
        <w:pStyle w:val="ListParagraph"/>
        <w:numPr>
          <w:ilvl w:val="0"/>
          <w:numId w:val="24"/>
        </w:numPr>
        <w:rPr>
          <w:rFonts w:eastAsia="Calibri"/>
          <w:b/>
          <w:bCs/>
          <w:lang w:val="en-US"/>
        </w:rPr>
      </w:pPr>
      <w:r w:rsidRPr="4301F19E">
        <w:rPr>
          <w:rFonts w:eastAsia="Calibri"/>
          <w:i/>
          <w:iCs/>
          <w:lang w:val="en-US"/>
        </w:rPr>
        <w:t>D</w:t>
      </w:r>
      <w:r w:rsidR="00F362F0">
        <w:rPr>
          <w:rFonts w:eastAsia="Calibri"/>
          <w:i/>
          <w:iCs/>
          <w:lang w:val="en-US"/>
        </w:rPr>
        <w:t>ugesia</w:t>
      </w:r>
      <w:r w:rsidR="00F362F0" w:rsidRPr="4301F19E">
        <w:rPr>
          <w:rFonts w:eastAsia="Calibri"/>
          <w:i/>
          <w:iCs/>
          <w:lang w:val="en-US"/>
        </w:rPr>
        <w:t xml:space="preserve"> </w:t>
      </w:r>
      <w:r w:rsidRPr="4301F19E">
        <w:rPr>
          <w:rFonts w:eastAsia="Calibri"/>
          <w:i/>
          <w:iCs/>
          <w:lang w:val="en-US"/>
        </w:rPr>
        <w:t>japonica</w:t>
      </w:r>
      <w:r w:rsidRPr="4301F19E">
        <w:rPr>
          <w:rFonts w:eastAsia="Calibri"/>
          <w:lang w:val="en-US"/>
        </w:rPr>
        <w:t xml:space="preserve"> (Yuan et al</w:t>
      </w:r>
      <w:r w:rsidR="00F74E89">
        <w:rPr>
          <w:rFonts w:eastAsia="Calibri"/>
          <w:lang w:val="en-US"/>
        </w:rPr>
        <w:t>.</w:t>
      </w:r>
      <w:r w:rsidRPr="4301F19E">
        <w:rPr>
          <w:rFonts w:eastAsia="Calibri"/>
          <w:lang w:val="en-US"/>
        </w:rPr>
        <w:t xml:space="preserve">, 2014). The </w:t>
      </w:r>
      <w:r w:rsidR="00F362F0">
        <w:rPr>
          <w:rFonts w:eastAsia="Calibri"/>
          <w:lang w:val="en-US"/>
        </w:rPr>
        <w:t>DGV</w:t>
      </w:r>
      <w:r w:rsidR="00F362F0" w:rsidRPr="4301F19E">
        <w:rPr>
          <w:rFonts w:eastAsia="Calibri"/>
          <w:lang w:val="en-US"/>
        </w:rPr>
        <w:t xml:space="preserve"> </w:t>
      </w:r>
      <w:r w:rsidRPr="4301F19E">
        <w:rPr>
          <w:rFonts w:eastAsia="Calibri"/>
          <w:lang w:val="en-US"/>
        </w:rPr>
        <w:t>authors adopted a LOEC of 500 µg/L based on reproduction. Exposure was to nominal concentrations of</w:t>
      </w:r>
      <w:r w:rsidR="4FDCB3C6" w:rsidRPr="4301F19E">
        <w:rPr>
          <w:rFonts w:eastAsia="Calibri"/>
          <w:lang w:val="en-US"/>
        </w:rPr>
        <w:t xml:space="preserve"> </w:t>
      </w:r>
      <w:r w:rsidRPr="4301F19E">
        <w:rPr>
          <w:rFonts w:eastAsia="Calibri"/>
          <w:lang w:val="en-US"/>
        </w:rPr>
        <w:t>0.5</w:t>
      </w:r>
      <w:r w:rsidR="709A5D84" w:rsidRPr="4301F19E">
        <w:rPr>
          <w:rFonts w:eastAsia="Calibri"/>
          <w:lang w:val="en-US"/>
        </w:rPr>
        <w:t xml:space="preserve">, </w:t>
      </w:r>
      <w:r w:rsidRPr="4301F19E">
        <w:rPr>
          <w:rFonts w:eastAsia="Calibri"/>
          <w:lang w:val="en-US"/>
        </w:rPr>
        <w:t>1.0</w:t>
      </w:r>
      <w:r w:rsidR="2C254F42" w:rsidRPr="4301F19E">
        <w:rPr>
          <w:rFonts w:eastAsia="Calibri"/>
          <w:lang w:val="en-US"/>
        </w:rPr>
        <w:t xml:space="preserve">, </w:t>
      </w:r>
      <w:r w:rsidRPr="4301F19E">
        <w:rPr>
          <w:rFonts w:eastAsia="Calibri"/>
          <w:lang w:val="en-US"/>
        </w:rPr>
        <w:t>5.0</w:t>
      </w:r>
      <w:r w:rsidR="3BCD2809" w:rsidRPr="4301F19E">
        <w:rPr>
          <w:rFonts w:eastAsia="Calibri"/>
          <w:lang w:val="en-US"/>
        </w:rPr>
        <w:t xml:space="preserve">, </w:t>
      </w:r>
      <w:r w:rsidRPr="4301F19E">
        <w:rPr>
          <w:rFonts w:eastAsia="Calibri"/>
          <w:lang w:val="en-US"/>
        </w:rPr>
        <w:t>8.0</w:t>
      </w:r>
      <w:r w:rsidR="5C8CF0A1" w:rsidRPr="4301F19E">
        <w:rPr>
          <w:rFonts w:eastAsia="Calibri"/>
          <w:lang w:val="en-US"/>
        </w:rPr>
        <w:t xml:space="preserve">, and </w:t>
      </w:r>
      <w:r w:rsidRPr="4301F19E">
        <w:rPr>
          <w:rFonts w:eastAsia="Calibri"/>
          <w:lang w:val="en-US"/>
        </w:rPr>
        <w:t xml:space="preserve">10 mg/L. There was good replication (10x3) in the study. Number of planarians with auricles after 10 days was the most sensitive endpoint and the lowest concentration (0.5 mg/L) significantly (p&lt;0.01) inhibited regeneration.  The LOEC/2.5 is defensible, and consistent with the </w:t>
      </w:r>
      <w:r w:rsidRPr="4301F19E">
        <w:rPr>
          <w:rFonts w:eastAsia="Calibri"/>
          <w:lang w:val="en-US"/>
        </w:rPr>
        <w:lastRenderedPageBreak/>
        <w:t xml:space="preserve">observations of biomarker effects despite the variability compared to controls. The </w:t>
      </w:r>
      <w:r w:rsidR="004F5713">
        <w:rPr>
          <w:rFonts w:eastAsia="Calibri"/>
          <w:lang w:val="en-US"/>
        </w:rPr>
        <w:t>IRC</w:t>
      </w:r>
      <w:r w:rsidRPr="4301F19E">
        <w:rPr>
          <w:rFonts w:eastAsia="Calibri"/>
          <w:lang w:val="en-US"/>
        </w:rPr>
        <w:t xml:space="preserve"> </w:t>
      </w:r>
      <w:r w:rsidRPr="4301F19E">
        <w:rPr>
          <w:rFonts w:eastAsia="Calibri"/>
          <w:b/>
          <w:bCs/>
          <w:lang w:val="en-US"/>
        </w:rPr>
        <w:t>recommends the LOEC should be retained for use in the SSD.</w:t>
      </w:r>
    </w:p>
    <w:p w14:paraId="1785202A" w14:textId="404455EF" w:rsidR="4113742B" w:rsidRDefault="4113742B" w:rsidP="384BFEFD">
      <w:pPr>
        <w:spacing w:after="0"/>
      </w:pPr>
      <w:r w:rsidRPr="384BFEFD">
        <w:rPr>
          <w:rFonts w:ascii="Calibri" w:eastAsia="Calibri" w:hAnsi="Calibri" w:cs="Calibri"/>
          <w:lang w:val="en-US"/>
        </w:rPr>
        <w:t xml:space="preserve"> </w:t>
      </w:r>
    </w:p>
    <w:p w14:paraId="713EF865" w14:textId="716406CD" w:rsidR="4113742B" w:rsidRPr="009E3D49" w:rsidRDefault="4113742B" w:rsidP="5430F672">
      <w:pPr>
        <w:pStyle w:val="ListParagraph"/>
        <w:numPr>
          <w:ilvl w:val="0"/>
          <w:numId w:val="24"/>
        </w:numPr>
        <w:rPr>
          <w:rFonts w:eastAsia="Calibri"/>
        </w:rPr>
      </w:pPr>
      <w:r w:rsidRPr="5430F672">
        <w:rPr>
          <w:rFonts w:eastAsia="Calibri"/>
          <w:i/>
          <w:iCs/>
        </w:rPr>
        <w:t>Pimephales promelas</w:t>
      </w:r>
      <w:r w:rsidRPr="5430F672">
        <w:rPr>
          <w:rFonts w:eastAsia="Calibri"/>
        </w:rPr>
        <w:t xml:space="preserve"> (Ankley et al</w:t>
      </w:r>
      <w:r w:rsidR="00F74E89" w:rsidRPr="5430F672">
        <w:rPr>
          <w:rFonts w:eastAsia="Calibri"/>
        </w:rPr>
        <w:t>.</w:t>
      </w:r>
      <w:r w:rsidRPr="5430F672">
        <w:rPr>
          <w:rFonts w:eastAsia="Calibri"/>
        </w:rPr>
        <w:t xml:space="preserve">, 2005). The </w:t>
      </w:r>
      <w:r w:rsidR="00821568">
        <w:rPr>
          <w:rFonts w:eastAsia="Calibri"/>
        </w:rPr>
        <w:t>DGV</w:t>
      </w:r>
      <w:r w:rsidR="00821568" w:rsidRPr="5430F672">
        <w:rPr>
          <w:rFonts w:eastAsia="Calibri"/>
        </w:rPr>
        <w:t xml:space="preserve"> </w:t>
      </w:r>
      <w:r w:rsidRPr="5430F672">
        <w:rPr>
          <w:rFonts w:eastAsia="Calibri"/>
        </w:rPr>
        <w:t xml:space="preserve">authors adopted the EC50 (reproduction) of 230 µg/L. Their rationale for this value was that the study showed no effects on growth up to the highest concentration (NOEC of &gt;300 µg/L) for the F1 generation. However, effects (EC50) on reproduction for the F0 generation were considered a true effect and </w:t>
      </w:r>
      <w:r w:rsidR="007E0827" w:rsidRPr="5430F672">
        <w:rPr>
          <w:rFonts w:eastAsia="Calibri"/>
        </w:rPr>
        <w:t xml:space="preserve">the EC50 </w:t>
      </w:r>
      <w:r w:rsidRPr="5430F672">
        <w:rPr>
          <w:rFonts w:eastAsia="Calibri"/>
        </w:rPr>
        <w:t xml:space="preserve">was selected for the DGVs because the growth NOEC was not sufficiently protective of reproductive effects. </w:t>
      </w:r>
      <w:r w:rsidR="00C33269" w:rsidRPr="5430F672">
        <w:rPr>
          <w:rFonts w:eastAsia="Calibri"/>
        </w:rPr>
        <w:t>T</w:t>
      </w:r>
      <w:r w:rsidRPr="5430F672">
        <w:rPr>
          <w:rFonts w:eastAsia="Calibri"/>
        </w:rPr>
        <w:t>he trends with respect to fecundity seemed apparent</w:t>
      </w:r>
      <w:r w:rsidR="007E0827" w:rsidRPr="5430F672">
        <w:rPr>
          <w:rFonts w:eastAsia="Calibri"/>
        </w:rPr>
        <w:t xml:space="preserve"> even though the concentration-response relationship</w:t>
      </w:r>
      <w:r w:rsidRPr="5430F672">
        <w:rPr>
          <w:rFonts w:eastAsia="Calibri"/>
        </w:rPr>
        <w:t xml:space="preserve"> </w:t>
      </w:r>
      <w:r w:rsidR="007E0827" w:rsidRPr="5430F672">
        <w:rPr>
          <w:rFonts w:eastAsia="Calibri"/>
        </w:rPr>
        <w:t>exhibited some non-monotonicity</w:t>
      </w:r>
      <w:r w:rsidRPr="5430F672">
        <w:rPr>
          <w:rFonts w:eastAsia="Calibri"/>
        </w:rPr>
        <w:t>. With values just read from the graph in the report</w:t>
      </w:r>
      <w:r w:rsidR="00F067B5" w:rsidRPr="5430F672">
        <w:rPr>
          <w:rFonts w:eastAsia="Calibri"/>
        </w:rPr>
        <w:t xml:space="preserve"> (Figure 1)</w:t>
      </w:r>
      <w:r w:rsidRPr="5430F672">
        <w:rPr>
          <w:rFonts w:eastAsia="Calibri"/>
        </w:rPr>
        <w:t xml:space="preserve">, </w:t>
      </w:r>
      <w:r w:rsidR="00E873FA">
        <w:rPr>
          <w:rFonts w:eastAsia="Calibri"/>
        </w:rPr>
        <w:t>the changes</w:t>
      </w:r>
      <w:r w:rsidR="00E873FA" w:rsidRPr="5430F672">
        <w:rPr>
          <w:rFonts w:eastAsia="Calibri"/>
        </w:rPr>
        <w:t xml:space="preserve"> </w:t>
      </w:r>
      <w:r w:rsidRPr="5430F672">
        <w:rPr>
          <w:rFonts w:eastAsia="Calibri"/>
        </w:rPr>
        <w:t>in egg production in the 30, 100, 300 and 1000 µg/L groups compared to the control w</w:t>
      </w:r>
      <w:r w:rsidR="2721D188" w:rsidRPr="5430F672">
        <w:rPr>
          <w:rFonts w:eastAsia="Calibri"/>
        </w:rPr>
        <w:t>ere</w:t>
      </w:r>
      <w:r w:rsidRPr="5430F672">
        <w:rPr>
          <w:rFonts w:eastAsia="Calibri"/>
        </w:rPr>
        <w:t xml:space="preserve"> </w:t>
      </w:r>
      <w:r w:rsidR="00E873FA">
        <w:rPr>
          <w:rFonts w:eastAsia="Calibri"/>
        </w:rPr>
        <w:t>+</w:t>
      </w:r>
      <w:r w:rsidRPr="5430F672">
        <w:rPr>
          <w:rFonts w:eastAsia="Calibri"/>
        </w:rPr>
        <w:t>22</w:t>
      </w:r>
      <w:r w:rsidR="00E873FA">
        <w:rPr>
          <w:rFonts w:eastAsia="Calibri"/>
        </w:rPr>
        <w:t>%</w:t>
      </w:r>
      <w:r w:rsidRPr="5430F672">
        <w:rPr>
          <w:rFonts w:eastAsia="Calibri"/>
        </w:rPr>
        <w:t xml:space="preserve"> (increased production), </w:t>
      </w:r>
      <w:r w:rsidR="00E873FA">
        <w:rPr>
          <w:rFonts w:eastAsia="Calibri"/>
        </w:rPr>
        <w:t>-</w:t>
      </w:r>
      <w:r w:rsidRPr="5430F672">
        <w:rPr>
          <w:rFonts w:eastAsia="Calibri"/>
        </w:rPr>
        <w:t>49</w:t>
      </w:r>
      <w:r w:rsidR="00E873FA">
        <w:rPr>
          <w:rFonts w:eastAsia="Calibri"/>
        </w:rPr>
        <w:t>%</w:t>
      </w:r>
      <w:r w:rsidRPr="5430F672">
        <w:rPr>
          <w:rFonts w:eastAsia="Calibri"/>
        </w:rPr>
        <w:t xml:space="preserve">, </w:t>
      </w:r>
      <w:r w:rsidR="00E873FA">
        <w:rPr>
          <w:rFonts w:eastAsia="Calibri"/>
        </w:rPr>
        <w:t>-2</w:t>
      </w:r>
      <w:r w:rsidRPr="5430F672">
        <w:rPr>
          <w:rFonts w:eastAsia="Calibri"/>
        </w:rPr>
        <w:t>8</w:t>
      </w:r>
      <w:r w:rsidR="00E873FA">
        <w:rPr>
          <w:rFonts w:eastAsia="Calibri"/>
        </w:rPr>
        <w:t>%</w:t>
      </w:r>
      <w:r w:rsidRPr="5430F672">
        <w:rPr>
          <w:rFonts w:eastAsia="Calibri"/>
        </w:rPr>
        <w:t xml:space="preserve"> and </w:t>
      </w:r>
      <w:r w:rsidR="00E873FA">
        <w:rPr>
          <w:rFonts w:eastAsia="Calibri"/>
        </w:rPr>
        <w:t>-</w:t>
      </w:r>
      <w:r w:rsidR="415FF5F9" w:rsidRPr="5430F672">
        <w:rPr>
          <w:rFonts w:eastAsia="Calibri"/>
        </w:rPr>
        <w:t>8</w:t>
      </w:r>
      <w:r w:rsidRPr="5430F672">
        <w:rPr>
          <w:rFonts w:eastAsia="Calibri"/>
        </w:rPr>
        <w:t xml:space="preserve">6%, respectively. It is hard then to say the results at 100 </w:t>
      </w:r>
      <w:r w:rsidR="1886D7EB" w:rsidRPr="5430F672">
        <w:rPr>
          <w:rFonts w:eastAsia="Calibri"/>
        </w:rPr>
        <w:t xml:space="preserve">µg/L </w:t>
      </w:r>
      <w:r w:rsidRPr="5430F672">
        <w:rPr>
          <w:rFonts w:eastAsia="Calibri"/>
        </w:rPr>
        <w:t xml:space="preserve">are </w:t>
      </w:r>
      <w:r w:rsidR="00E7194D">
        <w:rPr>
          <w:rFonts w:eastAsia="Calibri"/>
        </w:rPr>
        <w:t xml:space="preserve">entirely </w:t>
      </w:r>
      <w:r w:rsidRPr="5430F672">
        <w:rPr>
          <w:rFonts w:eastAsia="Calibri"/>
        </w:rPr>
        <w:t>treatment</w:t>
      </w:r>
      <w:r w:rsidR="1AC3253A" w:rsidRPr="5430F672">
        <w:rPr>
          <w:rFonts w:eastAsia="Calibri"/>
        </w:rPr>
        <w:t>-</w:t>
      </w:r>
      <w:proofErr w:type="gramStart"/>
      <w:r w:rsidRPr="5430F672">
        <w:rPr>
          <w:rFonts w:eastAsia="Calibri"/>
        </w:rPr>
        <w:t>related, but</w:t>
      </w:r>
      <w:proofErr w:type="gramEnd"/>
      <w:r w:rsidRPr="5430F672">
        <w:rPr>
          <w:rFonts w:eastAsia="Calibri"/>
        </w:rPr>
        <w:t xml:space="preserve"> given all results ≥100 µg/L are &gt;10%, </w:t>
      </w:r>
      <w:r w:rsidR="00C33269" w:rsidRPr="5430F672">
        <w:rPr>
          <w:rFonts w:eastAsia="Calibri"/>
        </w:rPr>
        <w:t>a</w:t>
      </w:r>
      <w:r w:rsidRPr="5430F672">
        <w:rPr>
          <w:rFonts w:eastAsia="Calibri"/>
        </w:rPr>
        <w:t xml:space="preserve"> NOEC of 30 µg/L</w:t>
      </w:r>
      <w:r w:rsidR="00C33269" w:rsidRPr="5430F672">
        <w:rPr>
          <w:rFonts w:eastAsia="Calibri"/>
        </w:rPr>
        <w:t xml:space="preserve"> appears justified</w:t>
      </w:r>
      <w:r w:rsidRPr="5430F672">
        <w:rPr>
          <w:rFonts w:eastAsia="Calibri"/>
        </w:rPr>
        <w:t xml:space="preserve">. </w:t>
      </w:r>
      <w:r w:rsidR="00DD764F">
        <w:rPr>
          <w:rFonts w:eastAsia="Calibri"/>
        </w:rPr>
        <w:t>T</w:t>
      </w:r>
      <w:r w:rsidR="008F165E" w:rsidRPr="5430F672">
        <w:rPr>
          <w:rFonts w:eastAsia="Calibri"/>
        </w:rPr>
        <w:t xml:space="preserve">he use of the EC50 is preferred to the </w:t>
      </w:r>
      <w:proofErr w:type="gramStart"/>
      <w:r w:rsidR="008F165E" w:rsidRPr="5430F672">
        <w:rPr>
          <w:rFonts w:eastAsia="Calibri"/>
        </w:rPr>
        <w:t>NOEC,</w:t>
      </w:r>
      <w:r w:rsidR="008F165E" w:rsidRPr="009E3D49">
        <w:rPr>
          <w:rFonts w:eastAsia="Calibri"/>
        </w:rPr>
        <w:t>.</w:t>
      </w:r>
      <w:proofErr w:type="gramEnd"/>
      <w:r w:rsidR="008F165E" w:rsidRPr="009E3D49">
        <w:rPr>
          <w:rFonts w:eastAsia="Calibri"/>
        </w:rPr>
        <w:t xml:space="preserve"> </w:t>
      </w:r>
      <w:r w:rsidR="00DD764F">
        <w:rPr>
          <w:rFonts w:eastAsia="Calibri"/>
        </w:rPr>
        <w:t>Consequently, t</w:t>
      </w:r>
      <w:r w:rsidRPr="009E3D49">
        <w:rPr>
          <w:rFonts w:eastAsia="Calibri"/>
        </w:rPr>
        <w:t xml:space="preserve">he </w:t>
      </w:r>
      <w:r w:rsidR="004F5713" w:rsidRPr="009E3D49">
        <w:rPr>
          <w:rFonts w:eastAsia="Calibri"/>
        </w:rPr>
        <w:t>IRC</w:t>
      </w:r>
      <w:r w:rsidRPr="009E3D49">
        <w:rPr>
          <w:rFonts w:eastAsia="Calibri"/>
        </w:rPr>
        <w:t xml:space="preserve"> </w:t>
      </w:r>
      <w:r w:rsidRPr="009E3D49">
        <w:rPr>
          <w:rFonts w:eastAsia="Calibri"/>
          <w:b/>
          <w:bCs/>
        </w:rPr>
        <w:t xml:space="preserve">recommends </w:t>
      </w:r>
      <w:r w:rsidR="008F165E" w:rsidRPr="5430F672">
        <w:rPr>
          <w:rFonts w:eastAsia="Calibri"/>
          <w:b/>
          <w:bCs/>
        </w:rPr>
        <w:t>the EC50/5 (46</w:t>
      </w:r>
      <w:r w:rsidRPr="009E3D49">
        <w:rPr>
          <w:rFonts w:eastAsia="Calibri"/>
          <w:b/>
          <w:bCs/>
        </w:rPr>
        <w:t xml:space="preserve"> µg/L</w:t>
      </w:r>
      <w:r w:rsidR="008F165E" w:rsidRPr="5430F672">
        <w:rPr>
          <w:rFonts w:eastAsia="Calibri"/>
          <w:b/>
          <w:bCs/>
        </w:rPr>
        <w:t>)</w:t>
      </w:r>
      <w:r w:rsidRPr="009E3D49">
        <w:rPr>
          <w:rFonts w:eastAsia="Calibri"/>
          <w:b/>
          <w:bCs/>
        </w:rPr>
        <w:t xml:space="preserve"> should be </w:t>
      </w:r>
      <w:r w:rsidR="008F165E" w:rsidRPr="5430F672">
        <w:rPr>
          <w:rFonts w:eastAsia="Calibri"/>
          <w:b/>
          <w:bCs/>
        </w:rPr>
        <w:t>retained for use</w:t>
      </w:r>
      <w:r w:rsidR="008F165E" w:rsidRPr="009E3D49">
        <w:rPr>
          <w:rFonts w:eastAsia="Calibri"/>
          <w:b/>
          <w:bCs/>
        </w:rPr>
        <w:t xml:space="preserve"> </w:t>
      </w:r>
      <w:r w:rsidRPr="009E3D49">
        <w:rPr>
          <w:rFonts w:eastAsia="Calibri"/>
          <w:b/>
          <w:bCs/>
        </w:rPr>
        <w:t>in the SSD.</w:t>
      </w:r>
    </w:p>
    <w:p w14:paraId="4B21149D" w14:textId="2E7D616F" w:rsidR="4113742B" w:rsidRDefault="4113742B" w:rsidP="384BFEFD">
      <w:pPr>
        <w:spacing w:after="0"/>
        <w:ind w:left="720"/>
      </w:pPr>
      <w:r w:rsidRPr="384BFEFD">
        <w:rPr>
          <w:rFonts w:ascii="Calibri" w:eastAsia="Calibri" w:hAnsi="Calibri" w:cs="Calibri"/>
          <w:lang w:val="en-US"/>
        </w:rPr>
        <w:t xml:space="preserve"> </w:t>
      </w:r>
    </w:p>
    <w:p w14:paraId="4E9EB25A" w14:textId="5BB83DEA" w:rsidR="4113742B" w:rsidRDefault="4113742B" w:rsidP="00EE5015">
      <w:pPr>
        <w:pStyle w:val="ListParagraph"/>
        <w:numPr>
          <w:ilvl w:val="0"/>
          <w:numId w:val="24"/>
        </w:numPr>
        <w:rPr>
          <w:rFonts w:eastAsia="Calibri"/>
          <w:b/>
          <w:bCs/>
          <w:lang w:val="en-US"/>
        </w:rPr>
      </w:pPr>
      <w:r w:rsidRPr="4301F19E">
        <w:rPr>
          <w:rFonts w:eastAsia="Calibri"/>
          <w:i/>
          <w:iCs/>
          <w:lang w:val="en-US"/>
        </w:rPr>
        <w:t>Desmodesmus communis</w:t>
      </w:r>
      <w:r w:rsidRPr="4301F19E">
        <w:rPr>
          <w:rFonts w:eastAsia="Calibri"/>
          <w:lang w:val="en-US"/>
        </w:rPr>
        <w:t xml:space="preserve"> (formerly </w:t>
      </w:r>
      <w:r w:rsidRPr="4301F19E">
        <w:rPr>
          <w:rFonts w:eastAsia="Calibri"/>
          <w:i/>
          <w:iCs/>
          <w:lang w:val="en-US"/>
        </w:rPr>
        <w:t>Scenedesmus quadricauda</w:t>
      </w:r>
      <w:r w:rsidRPr="4301F19E">
        <w:rPr>
          <w:rFonts w:eastAsia="Calibri"/>
          <w:lang w:val="en-US"/>
        </w:rPr>
        <w:t>) (Yang et al.</w:t>
      </w:r>
      <w:r w:rsidR="00F74E89">
        <w:rPr>
          <w:rFonts w:eastAsia="Calibri"/>
          <w:lang w:val="en-US"/>
        </w:rPr>
        <w:t>,</w:t>
      </w:r>
      <w:r w:rsidRPr="4301F19E">
        <w:rPr>
          <w:rFonts w:eastAsia="Calibri"/>
          <w:lang w:val="en-US"/>
        </w:rPr>
        <w:t xml:space="preserve"> 2014). The </w:t>
      </w:r>
      <w:r w:rsidR="00047BCB">
        <w:rPr>
          <w:rFonts w:eastAsia="Calibri"/>
          <w:lang w:val="en-US"/>
        </w:rPr>
        <w:t>DGV</w:t>
      </w:r>
      <w:r w:rsidR="00047BCB" w:rsidRPr="4301F19E">
        <w:rPr>
          <w:rFonts w:eastAsia="Calibri"/>
          <w:lang w:val="en-US"/>
        </w:rPr>
        <w:t xml:space="preserve"> </w:t>
      </w:r>
      <w:r w:rsidRPr="4301F19E">
        <w:rPr>
          <w:rFonts w:eastAsia="Calibri"/>
          <w:lang w:val="en-US"/>
        </w:rPr>
        <w:t xml:space="preserve">authors adopted the EC50 of 89.34 mg/L. The authors applied </w:t>
      </w:r>
      <w:r w:rsidR="000B1DDB">
        <w:rPr>
          <w:rFonts w:eastAsia="Calibri"/>
          <w:lang w:val="en-US"/>
        </w:rPr>
        <w:t>the default</w:t>
      </w:r>
      <w:r w:rsidR="000B1DDB" w:rsidRPr="4301F19E">
        <w:rPr>
          <w:rFonts w:eastAsia="Calibri"/>
          <w:lang w:val="en-US"/>
        </w:rPr>
        <w:t xml:space="preserve"> assessment factor of 5 </w:t>
      </w:r>
      <w:r w:rsidR="000B1DDB">
        <w:rPr>
          <w:rFonts w:eastAsia="Calibri"/>
          <w:lang w:val="en-US"/>
        </w:rPr>
        <w:t xml:space="preserve">to </w:t>
      </w:r>
      <w:r w:rsidRPr="4301F19E">
        <w:rPr>
          <w:rFonts w:eastAsia="Calibri"/>
          <w:lang w:val="en-US"/>
        </w:rPr>
        <w:t>the calculated EC50 to approximate a NOEC. This is the lowest preference</w:t>
      </w:r>
      <w:r w:rsidR="000B1DDB">
        <w:rPr>
          <w:rFonts w:eastAsia="Calibri"/>
          <w:lang w:val="en-US"/>
        </w:rPr>
        <w:t>,</w:t>
      </w:r>
      <w:r w:rsidRPr="4301F19E">
        <w:rPr>
          <w:rFonts w:eastAsia="Calibri"/>
          <w:lang w:val="en-US"/>
        </w:rPr>
        <w:t xml:space="preserve"> with </w:t>
      </w:r>
      <w:r w:rsidR="000B1DDB">
        <w:rPr>
          <w:rFonts w:eastAsia="Calibri"/>
          <w:lang w:val="en-US"/>
        </w:rPr>
        <w:t>an</w:t>
      </w:r>
      <w:r w:rsidR="000B1DDB" w:rsidRPr="4301F19E">
        <w:rPr>
          <w:rFonts w:eastAsia="Calibri"/>
          <w:lang w:val="en-US"/>
        </w:rPr>
        <w:t xml:space="preserve"> </w:t>
      </w:r>
      <w:r w:rsidRPr="4301F19E">
        <w:rPr>
          <w:rFonts w:eastAsia="Calibri"/>
          <w:lang w:val="en-US"/>
        </w:rPr>
        <w:t xml:space="preserve">EC10 </w:t>
      </w:r>
      <w:r w:rsidR="000B1DDB">
        <w:rPr>
          <w:rFonts w:eastAsia="Calibri"/>
          <w:lang w:val="en-US"/>
        </w:rPr>
        <w:t xml:space="preserve">or other negligible effect concentrations </w:t>
      </w:r>
      <w:r w:rsidRPr="4301F19E">
        <w:rPr>
          <w:rFonts w:eastAsia="Calibri"/>
          <w:lang w:val="en-US"/>
        </w:rPr>
        <w:t>being more desirable. Supplementary material indicates that only the 50 mg/L and 185.65</w:t>
      </w:r>
      <w:r w:rsidR="000B1DDB">
        <w:rPr>
          <w:rFonts w:eastAsia="Calibri"/>
          <w:lang w:val="en-US"/>
        </w:rPr>
        <w:t xml:space="preserve"> </w:t>
      </w:r>
      <w:r w:rsidRPr="4301F19E">
        <w:rPr>
          <w:rFonts w:eastAsia="Calibri"/>
          <w:lang w:val="en-US"/>
        </w:rPr>
        <w:t xml:space="preserve">mg/L concentrations were analysed. It is not clear if the effect concentration is calculated from nominal or corrected/measured concentrations.  Also, </w:t>
      </w:r>
      <w:r w:rsidR="12AABDCF" w:rsidRPr="4301F19E">
        <w:rPr>
          <w:rFonts w:eastAsia="Calibri"/>
          <w:lang w:val="en-US"/>
        </w:rPr>
        <w:t xml:space="preserve">there is </w:t>
      </w:r>
      <w:r w:rsidRPr="4301F19E">
        <w:rPr>
          <w:rFonts w:eastAsia="Calibri"/>
          <w:lang w:val="en-US"/>
        </w:rPr>
        <w:t>no indication of concentration in controls.  The</w:t>
      </w:r>
      <w:r w:rsidR="00CB735E">
        <w:rPr>
          <w:rFonts w:eastAsia="Calibri"/>
          <w:lang w:val="en-US"/>
        </w:rPr>
        <w:t xml:space="preserve"> 96-h</w:t>
      </w:r>
      <w:r w:rsidRPr="4301F19E">
        <w:rPr>
          <w:rFonts w:eastAsia="Calibri"/>
          <w:lang w:val="en-US"/>
        </w:rPr>
        <w:t xml:space="preserve"> </w:t>
      </w:r>
      <w:r w:rsidRPr="4301F19E">
        <w:rPr>
          <w:rFonts w:eastAsia="Calibri"/>
          <w:i/>
          <w:iCs/>
          <w:lang w:val="en-US"/>
        </w:rPr>
        <w:t>D. communis</w:t>
      </w:r>
      <w:r w:rsidRPr="4301F19E">
        <w:rPr>
          <w:rFonts w:eastAsia="Calibri"/>
          <w:lang w:val="en-US"/>
        </w:rPr>
        <w:t xml:space="preserve"> </w:t>
      </w:r>
      <w:r w:rsidR="00CB735E">
        <w:rPr>
          <w:rFonts w:eastAsia="Calibri"/>
          <w:lang w:val="en-US"/>
        </w:rPr>
        <w:t xml:space="preserve">test </w:t>
      </w:r>
      <w:r w:rsidRPr="4301F19E">
        <w:rPr>
          <w:rFonts w:eastAsia="Calibri"/>
          <w:lang w:val="en-US"/>
        </w:rPr>
        <w:t xml:space="preserve">is described as an acute test by the </w:t>
      </w:r>
      <w:r w:rsidR="00CB735E">
        <w:rPr>
          <w:rFonts w:eastAsia="Calibri"/>
          <w:lang w:val="en-US"/>
        </w:rPr>
        <w:t xml:space="preserve">study </w:t>
      </w:r>
      <w:r w:rsidRPr="4301F19E">
        <w:rPr>
          <w:rFonts w:eastAsia="Calibri"/>
          <w:lang w:val="en-US"/>
        </w:rPr>
        <w:t>author, but as a 96</w:t>
      </w:r>
      <w:r w:rsidR="436BBE60" w:rsidRPr="4301F19E">
        <w:rPr>
          <w:rFonts w:eastAsia="Calibri"/>
          <w:lang w:val="en-US"/>
        </w:rPr>
        <w:t>-</w:t>
      </w:r>
      <w:r w:rsidRPr="4301F19E">
        <w:rPr>
          <w:rFonts w:eastAsia="Calibri"/>
          <w:lang w:val="en-US"/>
        </w:rPr>
        <w:t xml:space="preserve">h proliferation test it can be considered chronic. The supplementary material </w:t>
      </w:r>
      <w:r w:rsidR="00801822">
        <w:rPr>
          <w:rFonts w:eastAsia="Calibri"/>
          <w:lang w:val="en-US"/>
        </w:rPr>
        <w:t xml:space="preserve">for </w:t>
      </w:r>
      <w:r w:rsidRPr="4301F19E">
        <w:rPr>
          <w:rFonts w:eastAsia="Calibri"/>
          <w:lang w:val="en-US"/>
        </w:rPr>
        <w:t xml:space="preserve">exposure to nominal 0, 50, 65, 84.5, 109.85, 142.81 and 185.65 mg/L resulted in growth inhibition of 3%, 10%, 17%, 53%, 57%, 83% and 93%, respectively). The </w:t>
      </w:r>
      <w:r w:rsidR="004F5713">
        <w:rPr>
          <w:rFonts w:eastAsia="Calibri"/>
          <w:lang w:val="en-US"/>
        </w:rPr>
        <w:t>IRC</w:t>
      </w:r>
      <w:r w:rsidRPr="4301F19E">
        <w:rPr>
          <w:rFonts w:eastAsia="Calibri"/>
          <w:lang w:val="en-US"/>
        </w:rPr>
        <w:t xml:space="preserve"> </w:t>
      </w:r>
      <w:r w:rsidRPr="4301F19E">
        <w:rPr>
          <w:rFonts w:eastAsia="Calibri"/>
          <w:b/>
          <w:bCs/>
          <w:lang w:val="en-US"/>
        </w:rPr>
        <w:t xml:space="preserve">recommends the </w:t>
      </w:r>
      <w:r w:rsidR="00E4612B">
        <w:rPr>
          <w:rFonts w:eastAsia="Calibri"/>
          <w:b/>
          <w:bCs/>
          <w:lang w:val="en-US"/>
        </w:rPr>
        <w:t>DGV</w:t>
      </w:r>
      <w:r w:rsidR="008F165E">
        <w:rPr>
          <w:rFonts w:eastAsia="Calibri"/>
          <w:b/>
          <w:bCs/>
          <w:lang w:val="en-US"/>
        </w:rPr>
        <w:t xml:space="preserve"> authors apply the mean replicate results from the supplementary information</w:t>
      </w:r>
      <w:r w:rsidR="00801822">
        <w:rPr>
          <w:rFonts w:eastAsia="Calibri"/>
          <w:b/>
          <w:bCs/>
          <w:lang w:val="en-US"/>
        </w:rPr>
        <w:t xml:space="preserve"> (including information on measured exposure concentrations if available)</w:t>
      </w:r>
      <w:r w:rsidR="008F165E">
        <w:rPr>
          <w:rFonts w:eastAsia="Calibri"/>
          <w:b/>
          <w:bCs/>
          <w:lang w:val="en-US"/>
        </w:rPr>
        <w:t xml:space="preserve"> to calculate an EC10</w:t>
      </w:r>
      <w:r w:rsidRPr="4301F19E">
        <w:rPr>
          <w:rFonts w:eastAsia="Calibri"/>
          <w:b/>
          <w:bCs/>
          <w:lang w:val="en-US"/>
        </w:rPr>
        <w:t>.</w:t>
      </w:r>
    </w:p>
    <w:p w14:paraId="0424497A" w14:textId="5ED1CFBF" w:rsidR="4113742B" w:rsidRDefault="4113742B" w:rsidP="384BFEFD">
      <w:pPr>
        <w:spacing w:after="0"/>
        <w:ind w:left="720"/>
      </w:pPr>
      <w:r w:rsidRPr="384BFEFD">
        <w:rPr>
          <w:rFonts w:ascii="Calibri" w:eastAsia="Calibri" w:hAnsi="Calibri" w:cs="Calibri"/>
          <w:lang w:val="en-US"/>
        </w:rPr>
        <w:t xml:space="preserve"> </w:t>
      </w:r>
    </w:p>
    <w:p w14:paraId="76B2E64A" w14:textId="462C2574" w:rsidR="4113742B" w:rsidRDefault="4113742B" w:rsidP="00EE5015">
      <w:pPr>
        <w:pStyle w:val="ListParagraph"/>
        <w:numPr>
          <w:ilvl w:val="0"/>
          <w:numId w:val="24"/>
        </w:numPr>
        <w:ind w:left="714" w:hanging="357"/>
        <w:rPr>
          <w:rFonts w:eastAsia="Calibri"/>
          <w:b/>
          <w:bCs/>
          <w:lang w:val="en-US"/>
        </w:rPr>
      </w:pPr>
      <w:r w:rsidRPr="2C4E3B28">
        <w:rPr>
          <w:rFonts w:eastAsia="Calibri"/>
          <w:i/>
          <w:iCs/>
          <w:lang w:val="en-US"/>
        </w:rPr>
        <w:t>Tetradesmus obliquus</w:t>
      </w:r>
      <w:r w:rsidRPr="2C4E3B28">
        <w:rPr>
          <w:rFonts w:eastAsia="Calibri"/>
          <w:lang w:val="en-US"/>
        </w:rPr>
        <w:t xml:space="preserve"> (formerly </w:t>
      </w:r>
      <w:r w:rsidRPr="2C4E3B28">
        <w:rPr>
          <w:rFonts w:eastAsia="Calibri"/>
          <w:i/>
          <w:iCs/>
          <w:lang w:val="en-US"/>
        </w:rPr>
        <w:t>Scenedesmus obliquus</w:t>
      </w:r>
      <w:r w:rsidRPr="2C4E3B28">
        <w:rPr>
          <w:rFonts w:eastAsia="Calibri"/>
          <w:lang w:val="en-US"/>
        </w:rPr>
        <w:t>) (Zhang et al</w:t>
      </w:r>
      <w:r w:rsidR="00F74E89" w:rsidRPr="2C4E3B28">
        <w:rPr>
          <w:rFonts w:eastAsia="Calibri"/>
          <w:lang w:val="en-US"/>
        </w:rPr>
        <w:t>.</w:t>
      </w:r>
      <w:r w:rsidRPr="2C4E3B28">
        <w:rPr>
          <w:rFonts w:eastAsia="Calibri"/>
          <w:lang w:val="en-US"/>
        </w:rPr>
        <w:t xml:space="preserve">, 2012). The </w:t>
      </w:r>
      <w:r w:rsidR="00047BCB" w:rsidRPr="2C4E3B28">
        <w:rPr>
          <w:rFonts w:eastAsia="Calibri"/>
          <w:lang w:val="en-US"/>
        </w:rPr>
        <w:t xml:space="preserve">DGV </w:t>
      </w:r>
      <w:r w:rsidRPr="2C4E3B28">
        <w:rPr>
          <w:rFonts w:eastAsia="Calibri"/>
          <w:lang w:val="en-US"/>
        </w:rPr>
        <w:t xml:space="preserve">authors applied a NOEC of 25 mg/L. The report does not provide sufficient information to calculate a </w:t>
      </w:r>
      <w:r w:rsidR="00047BCB" w:rsidRPr="2C4E3B28">
        <w:rPr>
          <w:rFonts w:eastAsia="Calibri"/>
          <w:lang w:val="en-US"/>
        </w:rPr>
        <w:t>concentration</w:t>
      </w:r>
      <w:r w:rsidR="4E48FA2A" w:rsidRPr="2C4E3B28">
        <w:rPr>
          <w:rFonts w:eastAsia="Calibri"/>
          <w:lang w:val="en-US"/>
        </w:rPr>
        <w:t>-</w:t>
      </w:r>
      <w:r w:rsidRPr="2C4E3B28">
        <w:rPr>
          <w:rFonts w:eastAsia="Calibri"/>
          <w:lang w:val="en-US"/>
        </w:rPr>
        <w:t xml:space="preserve">response curve and confirm, for example, an EC10. However, there were sufficient </w:t>
      </w:r>
      <w:r w:rsidR="46C4490A" w:rsidRPr="2C4E3B28">
        <w:rPr>
          <w:rFonts w:eastAsia="Calibri"/>
          <w:lang w:val="en-US"/>
        </w:rPr>
        <w:t>concentrations</w:t>
      </w:r>
      <w:r w:rsidRPr="2C4E3B28">
        <w:rPr>
          <w:rFonts w:eastAsia="Calibri"/>
          <w:lang w:val="en-US"/>
        </w:rPr>
        <w:t xml:space="preserve"> (6 plus control), and replication (3 per treatment). The EC50 based on cell density is reported as 126 mg/L and the NOEC is the lowest treatment level of 25 mg/L. The </w:t>
      </w:r>
      <w:r w:rsidR="004F5713" w:rsidRPr="2C4E3B28">
        <w:rPr>
          <w:rFonts w:eastAsia="Calibri"/>
          <w:lang w:val="en-US"/>
        </w:rPr>
        <w:t>IRC</w:t>
      </w:r>
      <w:r w:rsidRPr="2C4E3B28">
        <w:rPr>
          <w:rFonts w:eastAsia="Calibri"/>
          <w:lang w:val="en-US"/>
        </w:rPr>
        <w:t xml:space="preserve"> </w:t>
      </w:r>
      <w:r w:rsidRPr="2C4E3B28">
        <w:rPr>
          <w:rFonts w:eastAsia="Calibri"/>
          <w:b/>
          <w:bCs/>
          <w:lang w:val="en-US"/>
        </w:rPr>
        <w:t>recommends the NOEC should be retained for use in the SSD.</w:t>
      </w:r>
    </w:p>
    <w:p w14:paraId="75F34C70" w14:textId="1B99FB44" w:rsidR="384BFEFD" w:rsidRDefault="384BFEFD" w:rsidP="384BFEFD">
      <w:pPr>
        <w:spacing w:after="0"/>
        <w:rPr>
          <w:rFonts w:ascii="Calibri" w:eastAsia="Calibri" w:hAnsi="Calibri" w:cs="Calibri"/>
          <w:lang w:val="en-US"/>
        </w:rPr>
      </w:pPr>
    </w:p>
    <w:p w14:paraId="33FFDCF1" w14:textId="1E787C4B" w:rsidR="7A831AA4" w:rsidRDefault="7A831AA4" w:rsidP="00117B41">
      <w:pPr>
        <w:pStyle w:val="Heading4"/>
        <w:numPr>
          <w:ilvl w:val="2"/>
          <w:numId w:val="36"/>
        </w:numPr>
        <w:rPr>
          <w:rFonts w:eastAsia="Calibri"/>
          <w:lang w:val="en-US"/>
        </w:rPr>
      </w:pPr>
      <w:r w:rsidRPr="2C4E3B28">
        <w:rPr>
          <w:rFonts w:eastAsia="Calibri"/>
          <w:lang w:val="en-US"/>
        </w:rPr>
        <w:t>Rules for calculation of geometric means for toxicity data</w:t>
      </w:r>
    </w:p>
    <w:p w14:paraId="4FBE5A69" w14:textId="58ABC46A" w:rsidR="7A831AA4" w:rsidRDefault="5E6E0999">
      <w:pPr>
        <w:spacing w:after="0"/>
        <w:rPr>
          <w:rFonts w:ascii="Calibri" w:eastAsia="Calibri" w:hAnsi="Calibri" w:cs="Calibri"/>
          <w:lang w:val="en-US"/>
        </w:rPr>
      </w:pPr>
      <w:r w:rsidRPr="2C4E3B28">
        <w:rPr>
          <w:rFonts w:ascii="Calibri" w:eastAsia="Calibri" w:hAnsi="Calibri" w:cs="Calibri"/>
          <w:lang w:val="en-US"/>
        </w:rPr>
        <w:t>One s</w:t>
      </w:r>
      <w:r w:rsidR="67FA636C" w:rsidRPr="2C4E3B28">
        <w:rPr>
          <w:rFonts w:ascii="Calibri" w:eastAsia="Calibri" w:hAnsi="Calibri" w:cs="Calibri"/>
          <w:lang w:val="en-US"/>
        </w:rPr>
        <w:t>ubmission</w:t>
      </w:r>
      <w:r w:rsidR="7A831AA4" w:rsidRPr="2C4E3B28">
        <w:rPr>
          <w:rFonts w:ascii="Calibri" w:eastAsia="Calibri" w:hAnsi="Calibri" w:cs="Calibri"/>
          <w:lang w:val="en-US"/>
        </w:rPr>
        <w:t xml:space="preserve"> considered that the rules for calculation of geometric means for toxicity data had not been followed. Warne et al. (2018</w:t>
      </w:r>
      <w:r w:rsidR="4BCE71E1" w:rsidRPr="2C4E3B28">
        <w:rPr>
          <w:rFonts w:ascii="Calibri" w:eastAsia="Calibri" w:hAnsi="Calibri" w:cs="Calibri"/>
          <w:lang w:val="en-US"/>
        </w:rPr>
        <w:t>,</w:t>
      </w:r>
      <w:r w:rsidR="009E3D49">
        <w:rPr>
          <w:rFonts w:ascii="Calibri" w:eastAsia="Calibri" w:hAnsi="Calibri" w:cs="Calibri"/>
          <w:lang w:val="en-US"/>
        </w:rPr>
        <w:t xml:space="preserve"> </w:t>
      </w:r>
      <w:r w:rsidR="7A831AA4" w:rsidRPr="2C4E3B28">
        <w:rPr>
          <w:rFonts w:ascii="Calibri" w:eastAsia="Calibri" w:hAnsi="Calibri" w:cs="Calibri"/>
          <w:lang w:val="en-US"/>
        </w:rPr>
        <w:t xml:space="preserve">Section 3.4.4) states that geometric means for toxicity values should be calculated where there are multiple toxicity values for the same species, endpoint and test duration. Species for which this might be applicable but for which geometric means were not calculated were </w:t>
      </w:r>
      <w:r w:rsidR="00533B70" w:rsidRPr="2C4E3B28">
        <w:rPr>
          <w:rFonts w:ascii="Calibri" w:eastAsia="Calibri" w:hAnsi="Calibri" w:cs="Calibri"/>
          <w:i/>
          <w:iCs/>
          <w:lang w:val="en-US"/>
        </w:rPr>
        <w:t xml:space="preserve">D. </w:t>
      </w:r>
      <w:r w:rsidR="7A831AA4" w:rsidRPr="2C4E3B28">
        <w:rPr>
          <w:rFonts w:ascii="Calibri" w:eastAsia="Calibri" w:hAnsi="Calibri" w:cs="Calibri"/>
          <w:i/>
          <w:iCs/>
          <w:lang w:val="en-US"/>
        </w:rPr>
        <w:t>rerio</w:t>
      </w:r>
      <w:r w:rsidR="7A831AA4" w:rsidRPr="2C4E3B28">
        <w:rPr>
          <w:rFonts w:ascii="Calibri" w:eastAsia="Calibri" w:hAnsi="Calibri" w:cs="Calibri"/>
          <w:lang w:val="en-US"/>
        </w:rPr>
        <w:t xml:space="preserve"> and </w:t>
      </w:r>
      <w:r w:rsidR="00533B70" w:rsidRPr="2C4E3B28">
        <w:rPr>
          <w:rFonts w:ascii="Calibri" w:eastAsia="Calibri" w:hAnsi="Calibri" w:cs="Calibri"/>
          <w:i/>
          <w:iCs/>
          <w:lang w:val="en-US"/>
        </w:rPr>
        <w:t xml:space="preserve">D. </w:t>
      </w:r>
      <w:r w:rsidR="7A831AA4" w:rsidRPr="2C4E3B28">
        <w:rPr>
          <w:rFonts w:ascii="Calibri" w:eastAsia="Calibri" w:hAnsi="Calibri" w:cs="Calibri"/>
          <w:i/>
          <w:iCs/>
          <w:lang w:val="en-US"/>
        </w:rPr>
        <w:t>magna</w:t>
      </w:r>
      <w:r w:rsidR="7A831AA4" w:rsidRPr="2C4E3B28">
        <w:rPr>
          <w:rFonts w:ascii="Calibri" w:eastAsia="Calibri" w:hAnsi="Calibri" w:cs="Calibri"/>
          <w:lang w:val="en-US"/>
        </w:rPr>
        <w:t xml:space="preserve">. </w:t>
      </w:r>
    </w:p>
    <w:p w14:paraId="24CC8883" w14:textId="77777777" w:rsidR="00BB59A6" w:rsidRDefault="00BB59A6" w:rsidP="384BFEFD">
      <w:pPr>
        <w:spacing w:after="0"/>
        <w:rPr>
          <w:rFonts w:ascii="Calibri" w:eastAsia="Calibri" w:hAnsi="Calibri" w:cs="Calibri"/>
          <w:lang w:val="en-US"/>
        </w:rPr>
      </w:pPr>
    </w:p>
    <w:p w14:paraId="28B48C86" w14:textId="50BCDBF6" w:rsidR="7A831AA4" w:rsidRPr="009E3D49" w:rsidRDefault="004F5713" w:rsidP="2C4E3B28">
      <w:pPr>
        <w:spacing w:after="0"/>
        <w:rPr>
          <w:rFonts w:ascii="Calibri" w:eastAsia="Calibri" w:hAnsi="Calibri" w:cs="Calibri"/>
          <w:b/>
          <w:bCs/>
          <w:lang w:val="en-US"/>
        </w:rPr>
      </w:pPr>
      <w:r w:rsidRPr="5430F672">
        <w:rPr>
          <w:rFonts w:ascii="Calibri" w:eastAsia="Calibri" w:hAnsi="Calibri" w:cs="Calibri"/>
          <w:lang w:val="en-US"/>
        </w:rPr>
        <w:t xml:space="preserve">For </w:t>
      </w:r>
      <w:r w:rsidRPr="5430F672">
        <w:rPr>
          <w:rFonts w:ascii="Calibri" w:eastAsia="Calibri" w:hAnsi="Calibri" w:cs="Calibri"/>
          <w:i/>
          <w:iCs/>
          <w:lang w:val="en-US"/>
        </w:rPr>
        <w:t>D. rerio</w:t>
      </w:r>
      <w:r w:rsidRPr="5430F672">
        <w:rPr>
          <w:rFonts w:ascii="Calibri" w:eastAsia="Calibri" w:hAnsi="Calibri" w:cs="Calibri"/>
          <w:lang w:val="en-US"/>
        </w:rPr>
        <w:t>, Pan</w:t>
      </w:r>
      <w:r w:rsidR="00BB59A6" w:rsidRPr="5430F672">
        <w:rPr>
          <w:rFonts w:ascii="Calibri" w:eastAsia="Calibri" w:hAnsi="Calibri" w:cs="Calibri"/>
          <w:lang w:val="en-US"/>
        </w:rPr>
        <w:t>d</w:t>
      </w:r>
      <w:r w:rsidRPr="5430F672">
        <w:rPr>
          <w:rFonts w:ascii="Calibri" w:eastAsia="Calibri" w:hAnsi="Calibri" w:cs="Calibri"/>
          <w:lang w:val="en-US"/>
        </w:rPr>
        <w:t>elides et al. (</w:t>
      </w:r>
      <w:r w:rsidR="00BB59A6" w:rsidRPr="5430F672">
        <w:rPr>
          <w:rFonts w:ascii="Calibri" w:eastAsia="Calibri" w:hAnsi="Calibri" w:cs="Calibri"/>
          <w:lang w:val="en-US"/>
        </w:rPr>
        <w:t xml:space="preserve">2023) reviewed 12 key studies examining long term, chronic exposures </w:t>
      </w:r>
      <w:r w:rsidR="00F731FE" w:rsidRPr="5430F672">
        <w:rPr>
          <w:rFonts w:ascii="Calibri" w:eastAsia="Calibri" w:hAnsi="Calibri" w:cs="Calibri"/>
          <w:lang w:val="en-US"/>
        </w:rPr>
        <w:t xml:space="preserve">to PFOS </w:t>
      </w:r>
      <w:r w:rsidR="00BB59A6" w:rsidRPr="5430F672">
        <w:rPr>
          <w:rFonts w:ascii="Calibri" w:eastAsia="Calibri" w:hAnsi="Calibri" w:cs="Calibri"/>
          <w:lang w:val="en-US"/>
        </w:rPr>
        <w:t xml:space="preserve">including multigenerational exposures of 300 days or more.  They estimated a screening level NOEC of 31 µg/L which was calculated from the geometric mean of NOEC and LOEC values from several datasets.  </w:t>
      </w:r>
      <w:r w:rsidR="00F731FE" w:rsidRPr="5430F672">
        <w:rPr>
          <w:rFonts w:ascii="Calibri" w:eastAsia="Calibri" w:hAnsi="Calibri" w:cs="Calibri"/>
          <w:lang w:val="en-US"/>
        </w:rPr>
        <w:t>W</w:t>
      </w:r>
      <w:r w:rsidR="00BB59A6" w:rsidRPr="5430F672">
        <w:rPr>
          <w:rFonts w:ascii="Calibri" w:eastAsia="Calibri" w:hAnsi="Calibri" w:cs="Calibri"/>
          <w:lang w:val="en-US"/>
        </w:rPr>
        <w:t xml:space="preserve">hen they only considered the most reliable studies (Gust et al. 2023 and Krupa et </w:t>
      </w:r>
      <w:r w:rsidR="00BB59A6" w:rsidRPr="5430F672">
        <w:rPr>
          <w:rFonts w:ascii="Calibri" w:eastAsia="Calibri" w:hAnsi="Calibri" w:cs="Calibri"/>
          <w:lang w:val="en-US"/>
        </w:rPr>
        <w:lastRenderedPageBreak/>
        <w:t>al. 2022</w:t>
      </w:r>
      <w:r w:rsidR="00F731FE" w:rsidRPr="5430F672">
        <w:rPr>
          <w:rFonts w:ascii="Calibri" w:eastAsia="Calibri" w:hAnsi="Calibri" w:cs="Calibri"/>
          <w:lang w:val="en-US"/>
        </w:rPr>
        <w:t>) which had good study designs with</w:t>
      </w:r>
      <w:r w:rsidR="00BB59A6" w:rsidRPr="5430F672">
        <w:rPr>
          <w:rFonts w:ascii="Calibri" w:eastAsia="Calibri" w:hAnsi="Calibri" w:cs="Calibri"/>
          <w:lang w:val="en-US"/>
        </w:rPr>
        <w:t xml:space="preserve"> high replication and at least 5 measured treatment concentrations, </w:t>
      </w:r>
      <w:r w:rsidR="00F731FE" w:rsidRPr="5430F672">
        <w:rPr>
          <w:rFonts w:ascii="Calibri" w:eastAsia="Calibri" w:hAnsi="Calibri" w:cs="Calibri"/>
          <w:lang w:val="en-US"/>
        </w:rPr>
        <w:t xml:space="preserve">the calculated geometric mean NOEC of 28 µg/L was </w:t>
      </w:r>
      <w:proofErr w:type="gramStart"/>
      <w:r w:rsidR="00F731FE" w:rsidRPr="5430F672">
        <w:rPr>
          <w:rFonts w:ascii="Calibri" w:eastAsia="Calibri" w:hAnsi="Calibri" w:cs="Calibri"/>
          <w:lang w:val="en-US"/>
        </w:rPr>
        <w:t>similar to</w:t>
      </w:r>
      <w:proofErr w:type="gramEnd"/>
      <w:r w:rsidR="00F731FE" w:rsidRPr="5430F672">
        <w:rPr>
          <w:rFonts w:ascii="Calibri" w:eastAsia="Calibri" w:hAnsi="Calibri" w:cs="Calibri"/>
          <w:lang w:val="en-US"/>
        </w:rPr>
        <w:t xml:space="preserve"> their recommended screening NOEC. </w:t>
      </w:r>
      <w:r w:rsidR="00F731FE" w:rsidRPr="009E3D49">
        <w:rPr>
          <w:rFonts w:ascii="Calibri" w:eastAsia="Calibri" w:hAnsi="Calibri" w:cs="Calibri"/>
          <w:b/>
          <w:bCs/>
          <w:lang w:val="en-US"/>
        </w:rPr>
        <w:t xml:space="preserve">The IRC recommends that the GV authors carefully consider the Pandelides et al. (2023) review and calculate an appropriate geometric mean NOEC for </w:t>
      </w:r>
      <w:r w:rsidR="00F731FE" w:rsidRPr="009E3D49">
        <w:rPr>
          <w:rFonts w:ascii="Calibri" w:eastAsia="Calibri" w:hAnsi="Calibri" w:cs="Calibri"/>
          <w:b/>
          <w:bCs/>
          <w:i/>
          <w:iCs/>
          <w:lang w:val="en-US"/>
        </w:rPr>
        <w:t>D. rerio</w:t>
      </w:r>
      <w:r w:rsidR="00F731FE" w:rsidRPr="009E3D49">
        <w:rPr>
          <w:rFonts w:ascii="Calibri" w:eastAsia="Calibri" w:hAnsi="Calibri" w:cs="Calibri"/>
          <w:b/>
          <w:bCs/>
          <w:lang w:val="en-US"/>
        </w:rPr>
        <w:t xml:space="preserve"> according to Warn</w:t>
      </w:r>
      <w:r w:rsidR="00063BE4" w:rsidRPr="009E3D49">
        <w:rPr>
          <w:rFonts w:ascii="Calibri" w:eastAsia="Calibri" w:hAnsi="Calibri" w:cs="Calibri"/>
          <w:b/>
          <w:bCs/>
          <w:lang w:val="en-US"/>
        </w:rPr>
        <w:t>e</w:t>
      </w:r>
      <w:r w:rsidR="00F731FE" w:rsidRPr="009E3D49">
        <w:rPr>
          <w:rFonts w:ascii="Calibri" w:eastAsia="Calibri" w:hAnsi="Calibri" w:cs="Calibri"/>
          <w:b/>
          <w:bCs/>
          <w:lang w:val="en-US"/>
        </w:rPr>
        <w:t xml:space="preserve"> et al</w:t>
      </w:r>
      <w:r w:rsidR="00063BE4" w:rsidRPr="009E3D49">
        <w:rPr>
          <w:rFonts w:ascii="Calibri" w:eastAsia="Calibri" w:hAnsi="Calibri" w:cs="Calibri"/>
          <w:b/>
          <w:bCs/>
          <w:lang w:val="en-US"/>
        </w:rPr>
        <w:t>.</w:t>
      </w:r>
      <w:r w:rsidR="00F731FE" w:rsidRPr="009E3D49">
        <w:rPr>
          <w:rFonts w:ascii="Calibri" w:eastAsia="Calibri" w:hAnsi="Calibri" w:cs="Calibri"/>
          <w:b/>
          <w:bCs/>
          <w:lang w:val="en-US"/>
        </w:rPr>
        <w:t xml:space="preserve"> (20</w:t>
      </w:r>
      <w:r w:rsidR="00063BE4" w:rsidRPr="009E3D49">
        <w:rPr>
          <w:rFonts w:ascii="Calibri" w:eastAsia="Calibri" w:hAnsi="Calibri" w:cs="Calibri"/>
          <w:b/>
          <w:bCs/>
          <w:lang w:val="en-US"/>
        </w:rPr>
        <w:t>1</w:t>
      </w:r>
      <w:r w:rsidR="00F731FE" w:rsidRPr="009E3D49">
        <w:rPr>
          <w:rFonts w:ascii="Calibri" w:eastAsia="Calibri" w:hAnsi="Calibri" w:cs="Calibri"/>
          <w:b/>
          <w:bCs/>
          <w:lang w:val="en-US"/>
        </w:rPr>
        <w:t>8) guidance.</w:t>
      </w:r>
    </w:p>
    <w:p w14:paraId="677F9529" w14:textId="10030649" w:rsidR="04D20993" w:rsidRDefault="04D20993" w:rsidP="04D20993">
      <w:pPr>
        <w:spacing w:after="0"/>
        <w:rPr>
          <w:rFonts w:ascii="Calibri" w:eastAsia="Calibri" w:hAnsi="Calibri" w:cs="Calibri"/>
          <w:lang w:val="en-US"/>
        </w:rPr>
      </w:pPr>
    </w:p>
    <w:p w14:paraId="337FC407" w14:textId="337B9447" w:rsidR="7A831AA4" w:rsidRPr="00801822" w:rsidRDefault="00801822" w:rsidP="7EB67963">
      <w:pPr>
        <w:spacing w:after="0"/>
        <w:rPr>
          <w:rFonts w:ascii="Calibri" w:eastAsia="Calibri" w:hAnsi="Calibri" w:cs="Calibri"/>
          <w:lang w:val="en-US"/>
        </w:rPr>
      </w:pPr>
      <w:r>
        <w:rPr>
          <w:rFonts w:ascii="Calibri" w:eastAsia="Calibri" w:hAnsi="Calibri" w:cs="Calibri"/>
          <w:lang w:val="en-US"/>
        </w:rPr>
        <w:t xml:space="preserve">The biological findings from Lu </w:t>
      </w:r>
      <w:r>
        <w:rPr>
          <w:rFonts w:ascii="Calibri" w:eastAsia="Calibri" w:hAnsi="Calibri" w:cs="Calibri"/>
          <w:i/>
          <w:iCs/>
          <w:lang w:val="en-US"/>
        </w:rPr>
        <w:t>et al</w:t>
      </w:r>
      <w:r>
        <w:rPr>
          <w:rFonts w:ascii="Calibri" w:eastAsia="Calibri" w:hAnsi="Calibri" w:cs="Calibri"/>
          <w:lang w:val="en-US"/>
        </w:rPr>
        <w:t>, 2015 are described in point 2, Section 2.2.3</w:t>
      </w:r>
    </w:p>
    <w:p w14:paraId="03B3DC3D" w14:textId="0FE195A5" w:rsidR="7A831AA4" w:rsidRDefault="7A831AA4" w:rsidP="384BFEFD">
      <w:pPr>
        <w:spacing w:after="0"/>
      </w:pPr>
      <w:r w:rsidRPr="384BFEFD">
        <w:rPr>
          <w:rFonts w:ascii="Calibri" w:eastAsia="Calibri" w:hAnsi="Calibri" w:cs="Calibri"/>
          <w:lang w:val="en-US"/>
        </w:rPr>
        <w:t xml:space="preserve"> </w:t>
      </w:r>
    </w:p>
    <w:p w14:paraId="7EDD9D0D" w14:textId="77777777" w:rsidR="00C05884" w:rsidRDefault="00C05884" w:rsidP="384BFEFD">
      <w:pPr>
        <w:spacing w:after="0"/>
        <w:rPr>
          <w:rFonts w:ascii="Calibri" w:eastAsia="Calibri" w:hAnsi="Calibri" w:cs="Calibri"/>
          <w:b/>
          <w:bCs/>
          <w:lang w:val="en-US"/>
        </w:rPr>
      </w:pPr>
    </w:p>
    <w:p w14:paraId="676E481E" w14:textId="50BCDBF6" w:rsidR="00763849" w:rsidRDefault="00763849" w:rsidP="00763849">
      <w:pPr>
        <w:pStyle w:val="Heading3"/>
      </w:pPr>
      <w:bookmarkStart w:id="14" w:name="_Toc166677218"/>
      <w:r w:rsidRPr="2C4E3B28">
        <w:rPr>
          <w:rFonts w:eastAsia="Calibri"/>
          <w:lang w:val="en-US"/>
        </w:rPr>
        <w:t>Policy around Bioaccumulation</w:t>
      </w:r>
      <w:bookmarkEnd w:id="14"/>
    </w:p>
    <w:p w14:paraId="1E2E6E5B" w14:textId="67CD8101" w:rsidR="384BFEFD" w:rsidRDefault="384BFEFD" w:rsidP="08ECB972">
      <w:pPr>
        <w:spacing w:after="0"/>
        <w:rPr>
          <w:rFonts w:ascii="Calibri" w:eastAsia="Calibri" w:hAnsi="Calibri" w:cs="Calibri"/>
          <w:b/>
          <w:bCs/>
          <w:lang w:val="en-US"/>
        </w:rPr>
      </w:pPr>
    </w:p>
    <w:p w14:paraId="2CC4F014" w14:textId="52B827CB" w:rsidR="5F7F8179" w:rsidRDefault="620289E0" w:rsidP="6E2F1E39">
      <w:pPr>
        <w:rPr>
          <w:rFonts w:ascii="Calibri" w:eastAsia="Calibri" w:hAnsi="Calibri" w:cs="Calibri"/>
          <w:lang w:val="en-US"/>
        </w:rPr>
      </w:pPr>
      <w:r w:rsidRPr="6E2F1E39">
        <w:rPr>
          <w:rFonts w:ascii="Calibri" w:eastAsia="Calibri" w:hAnsi="Calibri" w:cs="Calibri"/>
          <w:lang w:val="en-US"/>
        </w:rPr>
        <w:t>C</w:t>
      </w:r>
      <w:r w:rsidR="17E47BAA" w:rsidRPr="6E2F1E39">
        <w:rPr>
          <w:rFonts w:ascii="Calibri" w:eastAsia="Calibri" w:hAnsi="Calibri" w:cs="Calibri"/>
          <w:lang w:val="en-US"/>
        </w:rPr>
        <w:t xml:space="preserve">oncerns </w:t>
      </w:r>
      <w:r w:rsidR="7E52AF1D" w:rsidRPr="6E2F1E39">
        <w:rPr>
          <w:rFonts w:ascii="Calibri" w:eastAsia="Calibri" w:hAnsi="Calibri" w:cs="Calibri"/>
          <w:lang w:val="en-US"/>
        </w:rPr>
        <w:t xml:space="preserve">were raised </w:t>
      </w:r>
      <w:r w:rsidR="64C2C1DE" w:rsidRPr="6E2F1E39">
        <w:rPr>
          <w:rFonts w:ascii="Calibri" w:eastAsia="Calibri" w:hAnsi="Calibri" w:cs="Calibri"/>
          <w:lang w:val="en-US"/>
        </w:rPr>
        <w:t>in</w:t>
      </w:r>
      <w:r w:rsidR="7E52AF1D" w:rsidRPr="6E2F1E39">
        <w:rPr>
          <w:rFonts w:ascii="Calibri" w:eastAsia="Calibri" w:hAnsi="Calibri" w:cs="Calibri"/>
          <w:lang w:val="en-US"/>
        </w:rPr>
        <w:t xml:space="preserve"> two </w:t>
      </w:r>
      <w:r w:rsidR="3B5BBA2F" w:rsidRPr="6E2F1E39">
        <w:rPr>
          <w:rFonts w:ascii="Calibri" w:eastAsia="Calibri" w:hAnsi="Calibri" w:cs="Calibri"/>
          <w:lang w:val="en-US"/>
        </w:rPr>
        <w:t>submi</w:t>
      </w:r>
      <w:r w:rsidR="4C15EBA6" w:rsidRPr="6E2F1E39">
        <w:rPr>
          <w:rFonts w:ascii="Calibri" w:eastAsia="Calibri" w:hAnsi="Calibri" w:cs="Calibri"/>
          <w:lang w:val="en-US"/>
        </w:rPr>
        <w:t>ssions</w:t>
      </w:r>
      <w:r w:rsidR="7E52AF1D" w:rsidRPr="6E2F1E39">
        <w:rPr>
          <w:rFonts w:ascii="Calibri" w:eastAsia="Calibri" w:hAnsi="Calibri" w:cs="Calibri"/>
          <w:lang w:val="en-US"/>
        </w:rPr>
        <w:t xml:space="preserve"> </w:t>
      </w:r>
      <w:r w:rsidR="499F4031" w:rsidRPr="6E2F1E39">
        <w:rPr>
          <w:rFonts w:ascii="Calibri" w:eastAsia="Calibri" w:hAnsi="Calibri" w:cs="Calibri"/>
          <w:lang w:val="en-US"/>
        </w:rPr>
        <w:t xml:space="preserve">relating </w:t>
      </w:r>
      <w:r w:rsidR="2038A668" w:rsidRPr="6E2F1E39">
        <w:rPr>
          <w:rFonts w:ascii="Calibri" w:eastAsia="Calibri" w:hAnsi="Calibri" w:cs="Calibri"/>
          <w:lang w:val="en-US"/>
        </w:rPr>
        <w:t xml:space="preserve">to </w:t>
      </w:r>
      <w:r w:rsidR="499F4031" w:rsidRPr="6E2F1E39">
        <w:rPr>
          <w:rFonts w:ascii="Calibri" w:eastAsia="Calibri" w:hAnsi="Calibri" w:cs="Calibri"/>
          <w:lang w:val="en-US"/>
        </w:rPr>
        <w:t xml:space="preserve">the </w:t>
      </w:r>
      <w:r w:rsidR="377C55AF" w:rsidRPr="6E2F1E39">
        <w:rPr>
          <w:rFonts w:ascii="Calibri" w:eastAsia="Calibri" w:hAnsi="Calibri" w:cs="Calibri"/>
          <w:lang w:val="en-US"/>
        </w:rPr>
        <w:t xml:space="preserve">application of </w:t>
      </w:r>
      <w:r w:rsidR="6F6FA70D" w:rsidRPr="6E2F1E39">
        <w:rPr>
          <w:rFonts w:ascii="Calibri" w:eastAsia="Calibri" w:hAnsi="Calibri" w:cs="Calibri"/>
          <w:lang w:val="en-US"/>
        </w:rPr>
        <w:t xml:space="preserve">the </w:t>
      </w:r>
      <w:r w:rsidR="5C2F8C7F" w:rsidRPr="6E2F1E39">
        <w:rPr>
          <w:rFonts w:ascii="Calibri" w:eastAsia="Calibri" w:hAnsi="Calibri" w:cs="Calibri"/>
          <w:lang w:val="en-US"/>
        </w:rPr>
        <w:t xml:space="preserve">99% </w:t>
      </w:r>
      <w:r w:rsidR="00840120" w:rsidRPr="6E2F1E39">
        <w:rPr>
          <w:rFonts w:ascii="Calibri" w:eastAsia="Calibri" w:hAnsi="Calibri" w:cs="Calibri"/>
          <w:lang w:val="en-US"/>
        </w:rPr>
        <w:t xml:space="preserve">species protection </w:t>
      </w:r>
      <w:r w:rsidR="5C2F8C7F" w:rsidRPr="6E2F1E39">
        <w:rPr>
          <w:rFonts w:ascii="Calibri" w:eastAsia="Calibri" w:hAnsi="Calibri" w:cs="Calibri"/>
          <w:lang w:val="en-US"/>
        </w:rPr>
        <w:t xml:space="preserve">DGV </w:t>
      </w:r>
      <w:r w:rsidR="600D3850" w:rsidRPr="6E2F1E39">
        <w:rPr>
          <w:rFonts w:ascii="Calibri" w:eastAsia="Calibri" w:hAnsi="Calibri" w:cs="Calibri"/>
          <w:lang w:val="en-US"/>
        </w:rPr>
        <w:t xml:space="preserve">to protect against bioaccumulation </w:t>
      </w:r>
      <w:r w:rsidR="7D4EFCDC" w:rsidRPr="6E2F1E39">
        <w:rPr>
          <w:rFonts w:ascii="Calibri" w:eastAsia="Calibri" w:hAnsi="Calibri" w:cs="Calibri"/>
          <w:lang w:val="en-US"/>
        </w:rPr>
        <w:t xml:space="preserve">in </w:t>
      </w:r>
      <w:r w:rsidR="75CB76AC" w:rsidRPr="6E2F1E39">
        <w:rPr>
          <w:rFonts w:ascii="Calibri" w:eastAsia="Calibri" w:hAnsi="Calibri" w:cs="Calibri"/>
          <w:lang w:val="en-US"/>
        </w:rPr>
        <w:t xml:space="preserve">slightly to moderately disturbed </w:t>
      </w:r>
      <w:r w:rsidR="7D4EFCDC" w:rsidRPr="6E2F1E39">
        <w:rPr>
          <w:rFonts w:ascii="Calibri" w:eastAsia="Calibri" w:hAnsi="Calibri" w:cs="Calibri"/>
          <w:lang w:val="en-US"/>
        </w:rPr>
        <w:t>aquatic ecosystems</w:t>
      </w:r>
      <w:r w:rsidR="49D096AE" w:rsidRPr="6E2F1E39">
        <w:rPr>
          <w:rFonts w:ascii="Calibri" w:eastAsia="Calibri" w:hAnsi="Calibri" w:cs="Calibri"/>
          <w:lang w:val="en-US"/>
        </w:rPr>
        <w:t>.</w:t>
      </w:r>
      <w:r w:rsidR="4F7871F2" w:rsidRPr="6E2F1E39">
        <w:rPr>
          <w:rFonts w:ascii="Calibri" w:eastAsia="Calibri" w:hAnsi="Calibri" w:cs="Calibri"/>
          <w:lang w:val="en-US"/>
        </w:rPr>
        <w:t xml:space="preserve"> </w:t>
      </w:r>
      <w:r w:rsidR="5CC3CF30" w:rsidRPr="6E2F1E39">
        <w:rPr>
          <w:rFonts w:ascii="Calibri" w:eastAsia="Calibri" w:hAnsi="Calibri" w:cs="Calibri"/>
          <w:lang w:val="en-US"/>
        </w:rPr>
        <w:t xml:space="preserve">The </w:t>
      </w:r>
      <w:r w:rsidR="00840120" w:rsidRPr="6E2F1E39">
        <w:rPr>
          <w:rFonts w:ascii="Calibri" w:eastAsia="Calibri" w:hAnsi="Calibri" w:cs="Calibri"/>
          <w:lang w:val="en-US"/>
        </w:rPr>
        <w:t xml:space="preserve">Summary of the </w:t>
      </w:r>
      <w:r w:rsidR="1E04F100" w:rsidRPr="6E2F1E39">
        <w:rPr>
          <w:rFonts w:ascii="Calibri" w:eastAsia="Calibri" w:hAnsi="Calibri" w:cs="Calibri"/>
          <w:lang w:val="en-US"/>
        </w:rPr>
        <w:t xml:space="preserve">draft </w:t>
      </w:r>
      <w:r w:rsidR="00840120" w:rsidRPr="6E2F1E39">
        <w:rPr>
          <w:rFonts w:ascii="Calibri" w:eastAsia="Calibri" w:hAnsi="Calibri" w:cs="Calibri"/>
          <w:lang w:val="en-US"/>
        </w:rPr>
        <w:t xml:space="preserve">DGV technical brief </w:t>
      </w:r>
      <w:r w:rsidR="5CC3CF30" w:rsidRPr="6E2F1E39">
        <w:rPr>
          <w:rFonts w:ascii="Calibri" w:eastAsia="Calibri" w:hAnsi="Calibri" w:cs="Calibri"/>
          <w:lang w:val="en-US"/>
        </w:rPr>
        <w:t>state</w:t>
      </w:r>
      <w:r w:rsidR="3C46EACD" w:rsidRPr="6E2F1E39">
        <w:rPr>
          <w:rFonts w:ascii="Calibri" w:eastAsia="Calibri" w:hAnsi="Calibri" w:cs="Calibri"/>
          <w:lang w:val="en-US"/>
        </w:rPr>
        <w:t>s</w:t>
      </w:r>
      <w:r w:rsidR="5CC3CF30" w:rsidRPr="6E2F1E39">
        <w:rPr>
          <w:rFonts w:ascii="Calibri" w:eastAsia="Calibri" w:hAnsi="Calibri" w:cs="Calibri"/>
          <w:lang w:val="en-US"/>
        </w:rPr>
        <w:t xml:space="preserve"> </w:t>
      </w:r>
      <w:r w:rsidR="4F7871F2" w:rsidRPr="6E2F1E39">
        <w:rPr>
          <w:rFonts w:ascii="Calibri" w:eastAsia="Calibri" w:hAnsi="Calibri" w:cs="Calibri"/>
          <w:lang w:val="en-US"/>
        </w:rPr>
        <w:t>“Although the 99% DGV is recommended, biota in the water may have elevated tissue concentrations of PFOS that exceed the DGV (regardless of whether the water quality meets the DGV). Therefore, the 99% DGV alone may not be sufficient to protect the organisms that consume these biota (e.g. predators such as birds). Accordingly, assessments should consider the risk to higher consumers as well as the presence of PFOS precursors.”</w:t>
      </w:r>
      <w:r w:rsidR="594E6D29" w:rsidRPr="6E2F1E39">
        <w:rPr>
          <w:rFonts w:ascii="Calibri" w:eastAsia="Calibri" w:hAnsi="Calibri" w:cs="Calibri"/>
          <w:lang w:val="en-US"/>
        </w:rPr>
        <w:t xml:space="preserve"> </w:t>
      </w:r>
    </w:p>
    <w:p w14:paraId="31776E81" w14:textId="723897CE" w:rsidR="4301F19E" w:rsidRDefault="00840120" w:rsidP="06D94285">
      <w:pPr>
        <w:rPr>
          <w:rFonts w:ascii="Calibri" w:eastAsia="Calibri" w:hAnsi="Calibri" w:cs="Calibri"/>
          <w:lang w:val="en-US"/>
        </w:rPr>
      </w:pPr>
      <w:r>
        <w:rPr>
          <w:rFonts w:ascii="Calibri" w:eastAsia="Calibri" w:hAnsi="Calibri" w:cs="Calibri"/>
          <w:lang w:val="en-US"/>
        </w:rPr>
        <w:t xml:space="preserve">As elaborated upon in Section 4.3 of the </w:t>
      </w:r>
      <w:r w:rsidRPr="5FF66AB4">
        <w:rPr>
          <w:rFonts w:ascii="Calibri" w:eastAsia="Calibri" w:hAnsi="Calibri" w:cs="Calibri"/>
          <w:lang w:val="en-US"/>
        </w:rPr>
        <w:t xml:space="preserve">draft </w:t>
      </w:r>
      <w:r>
        <w:rPr>
          <w:rFonts w:ascii="Calibri" w:eastAsia="Calibri" w:hAnsi="Calibri" w:cs="Calibri"/>
          <w:lang w:val="en-US"/>
        </w:rPr>
        <w:t>DGV technical brief,</w:t>
      </w:r>
      <w:r w:rsidR="238C7F83" w:rsidRPr="1FBB86F9">
        <w:rPr>
          <w:rFonts w:ascii="Calibri" w:eastAsia="Calibri" w:hAnsi="Calibri" w:cs="Calibri"/>
          <w:lang w:val="en-US"/>
        </w:rPr>
        <w:t xml:space="preserve"> </w:t>
      </w:r>
      <w:r>
        <w:rPr>
          <w:rFonts w:ascii="Calibri" w:eastAsia="Calibri" w:hAnsi="Calibri" w:cs="Calibri"/>
          <w:lang w:val="en-US"/>
        </w:rPr>
        <w:t xml:space="preserve">the above text </w:t>
      </w:r>
      <w:r w:rsidR="238C7F83" w:rsidRPr="1FBB86F9">
        <w:rPr>
          <w:rFonts w:ascii="Calibri" w:eastAsia="Calibri" w:hAnsi="Calibri" w:cs="Calibri"/>
          <w:lang w:val="en-US"/>
        </w:rPr>
        <w:t xml:space="preserve">specifically refers to published data showing that </w:t>
      </w:r>
      <w:r>
        <w:rPr>
          <w:rFonts w:ascii="Calibri" w:eastAsia="Calibri" w:hAnsi="Calibri" w:cs="Calibri"/>
          <w:lang w:val="en-US"/>
        </w:rPr>
        <w:t xml:space="preserve">meeting </w:t>
      </w:r>
      <w:r w:rsidR="238C7F83" w:rsidRPr="1FBB86F9">
        <w:rPr>
          <w:rFonts w:ascii="Calibri" w:eastAsia="Calibri" w:hAnsi="Calibri" w:cs="Calibri"/>
          <w:lang w:val="en-US"/>
        </w:rPr>
        <w:t xml:space="preserve">the 99% </w:t>
      </w:r>
      <w:r>
        <w:rPr>
          <w:rFonts w:ascii="Calibri" w:eastAsia="Calibri" w:hAnsi="Calibri" w:cs="Calibri"/>
          <w:lang w:val="en-US"/>
        </w:rPr>
        <w:t>species protection</w:t>
      </w:r>
      <w:r w:rsidRPr="1FBB86F9">
        <w:rPr>
          <w:rFonts w:ascii="Calibri" w:eastAsia="Calibri" w:hAnsi="Calibri" w:cs="Calibri"/>
          <w:lang w:val="en-US"/>
        </w:rPr>
        <w:t xml:space="preserve"> </w:t>
      </w:r>
      <w:r w:rsidR="238C7F83" w:rsidRPr="1FBB86F9">
        <w:rPr>
          <w:rFonts w:ascii="Calibri" w:eastAsia="Calibri" w:hAnsi="Calibri" w:cs="Calibri"/>
          <w:lang w:val="en-US"/>
        </w:rPr>
        <w:t xml:space="preserve">DGV does not necessarily mean that tissue concentrations in aquatic biota will be below relevant wildlife protection values. Given this evidence is now available (i.e. Baddiley et al. 2020), it is considered that it is reasonable and valid to include statements that may differ from other DGVs where such evidence is lacking. </w:t>
      </w:r>
      <w:r w:rsidR="6D9F5CC7" w:rsidRPr="1FBB86F9">
        <w:rPr>
          <w:rFonts w:ascii="Calibri" w:eastAsia="Calibri" w:hAnsi="Calibri" w:cs="Calibri"/>
          <w:lang w:val="en-US"/>
        </w:rPr>
        <w:t xml:space="preserve"> Moreover, both ANZG (2018) and ANZECC/ARMCANZ (2000) clearly state that the guidance to use the 99% species protection DGV for bioaccumulative compounds is arbitrary and not based on any evidence of biological protection –  e.g. from ANZG (2018):</w:t>
      </w:r>
      <w:r w:rsidR="3CDDC406" w:rsidRPr="1FBB86F9">
        <w:rPr>
          <w:rFonts w:ascii="Calibri" w:eastAsia="Calibri" w:hAnsi="Calibri" w:cs="Calibri"/>
          <w:lang w:val="en-US"/>
        </w:rPr>
        <w:t xml:space="preserve"> </w:t>
      </w:r>
      <w:r w:rsidR="114F5C03" w:rsidRPr="1FBB86F9">
        <w:rPr>
          <w:rFonts w:ascii="Calibri" w:eastAsia="Calibri" w:hAnsi="Calibri" w:cs="Calibri"/>
          <w:lang w:val="en-US"/>
        </w:rPr>
        <w:t>“</w:t>
      </w:r>
      <w:r w:rsidR="3CDDC406" w:rsidRPr="1FBB86F9">
        <w:rPr>
          <w:rFonts w:ascii="Calibri" w:eastAsia="Calibri" w:hAnsi="Calibri" w:cs="Calibri"/>
          <w:lang w:val="en-US"/>
        </w:rPr>
        <w:t>The recommended approach has no mechanistic basis with regards to bioaccumulation, and is recommended solely as a precautionary measure to minimise the risks from bioaccumulative substances.</w:t>
      </w:r>
      <w:r w:rsidR="11FCFBEF" w:rsidRPr="1FBB86F9">
        <w:rPr>
          <w:rFonts w:ascii="Calibri" w:eastAsia="Calibri" w:hAnsi="Calibri" w:cs="Calibri"/>
          <w:lang w:val="en-US"/>
        </w:rPr>
        <w:t xml:space="preserve"> </w:t>
      </w:r>
      <w:r w:rsidR="3ABE2D7A" w:rsidRPr="1FBB86F9">
        <w:rPr>
          <w:rFonts w:ascii="Calibri" w:eastAsia="Calibri" w:hAnsi="Calibri" w:cs="Calibri"/>
          <w:lang w:val="en-US"/>
        </w:rPr>
        <w:t>"</w:t>
      </w:r>
      <w:r w:rsidR="11FCFBEF" w:rsidRPr="1FBB86F9">
        <w:rPr>
          <w:rFonts w:ascii="Calibri" w:eastAsia="Calibri" w:hAnsi="Calibri" w:cs="Calibri"/>
          <w:lang w:val="en-US"/>
        </w:rPr>
        <w:t xml:space="preserve"> </w:t>
      </w:r>
    </w:p>
    <w:p w14:paraId="7793D6D1" w14:textId="44C12613" w:rsidR="4301F19E" w:rsidRDefault="62E4AD32" w:rsidP="3D5934A7">
      <w:pPr>
        <w:rPr>
          <w:rFonts w:ascii="Calibri" w:eastAsia="Calibri" w:hAnsi="Calibri" w:cs="Calibri"/>
          <w:lang w:val="en-US"/>
        </w:rPr>
      </w:pPr>
      <w:r w:rsidRPr="06D94285">
        <w:rPr>
          <w:rFonts w:ascii="Calibri" w:eastAsia="Calibri" w:hAnsi="Calibri" w:cs="Calibri"/>
          <w:lang w:val="en-US"/>
        </w:rPr>
        <w:t xml:space="preserve">ANZG </w:t>
      </w:r>
      <w:r w:rsidR="00EB1A43">
        <w:rPr>
          <w:rFonts w:ascii="Calibri" w:eastAsia="Calibri" w:hAnsi="Calibri" w:cs="Calibri"/>
          <w:lang w:val="en-US"/>
        </w:rPr>
        <w:t>(</w:t>
      </w:r>
      <w:r w:rsidRPr="06D94285">
        <w:rPr>
          <w:rFonts w:ascii="Calibri" w:eastAsia="Calibri" w:hAnsi="Calibri" w:cs="Calibri"/>
          <w:lang w:val="en-US"/>
        </w:rPr>
        <w:t>2018</w:t>
      </w:r>
      <w:r w:rsidR="00EB1A43">
        <w:rPr>
          <w:rFonts w:ascii="Calibri" w:eastAsia="Calibri" w:hAnsi="Calibri" w:cs="Calibri"/>
          <w:lang w:val="en-US"/>
        </w:rPr>
        <w:t>)</w:t>
      </w:r>
      <w:r w:rsidRPr="06D94285">
        <w:rPr>
          <w:rFonts w:ascii="Calibri" w:eastAsia="Calibri" w:hAnsi="Calibri" w:cs="Calibri"/>
          <w:lang w:val="en-US"/>
        </w:rPr>
        <w:t xml:space="preserve"> </w:t>
      </w:r>
      <w:r w:rsidR="00EB1A43">
        <w:rPr>
          <w:rFonts w:ascii="Calibri" w:eastAsia="Calibri" w:hAnsi="Calibri" w:cs="Calibri"/>
          <w:lang w:val="en-US"/>
        </w:rPr>
        <w:t>is</w:t>
      </w:r>
      <w:r w:rsidR="69C12EF8" w:rsidRPr="06D94285">
        <w:rPr>
          <w:rFonts w:ascii="Calibri" w:eastAsia="Calibri" w:hAnsi="Calibri" w:cs="Calibri"/>
          <w:lang w:val="en-US"/>
        </w:rPr>
        <w:t xml:space="preserve"> clear that </w:t>
      </w:r>
      <w:r w:rsidR="472DB99F" w:rsidRPr="06D94285">
        <w:rPr>
          <w:rFonts w:ascii="Calibri" w:eastAsia="Calibri" w:hAnsi="Calibri" w:cs="Calibri"/>
          <w:lang w:val="en-US"/>
        </w:rPr>
        <w:t xml:space="preserve">guidance </w:t>
      </w:r>
      <w:r w:rsidR="62B2A966" w:rsidRPr="06D94285">
        <w:rPr>
          <w:rFonts w:ascii="Calibri" w:eastAsia="Calibri" w:hAnsi="Calibri" w:cs="Calibri"/>
          <w:lang w:val="en-US"/>
        </w:rPr>
        <w:t xml:space="preserve">has not been developed </w:t>
      </w:r>
      <w:r w:rsidR="472DB99F" w:rsidRPr="06D94285">
        <w:rPr>
          <w:rFonts w:ascii="Calibri" w:eastAsia="Calibri" w:hAnsi="Calibri" w:cs="Calibri"/>
          <w:lang w:val="en-US"/>
        </w:rPr>
        <w:t>to protect terrestrial and semi-terrestrial wildlife from impacts to animals from</w:t>
      </w:r>
      <w:r w:rsidR="2E3ED31D" w:rsidRPr="06D94285">
        <w:rPr>
          <w:rFonts w:ascii="Calibri" w:eastAsia="Calibri" w:hAnsi="Calibri" w:cs="Calibri"/>
          <w:lang w:val="en-US"/>
        </w:rPr>
        <w:t xml:space="preserve"> contaminated</w:t>
      </w:r>
      <w:r w:rsidR="472DB99F" w:rsidRPr="06D94285">
        <w:rPr>
          <w:rFonts w:ascii="Calibri" w:eastAsia="Calibri" w:hAnsi="Calibri" w:cs="Calibri"/>
          <w:lang w:val="en-US"/>
        </w:rPr>
        <w:t xml:space="preserve"> drinking water </w:t>
      </w:r>
      <w:r w:rsidR="2D604002" w:rsidRPr="06D94285">
        <w:rPr>
          <w:rFonts w:ascii="Calibri" w:eastAsia="Calibri" w:hAnsi="Calibri" w:cs="Calibri"/>
          <w:lang w:val="en-US"/>
        </w:rPr>
        <w:t>nor food</w:t>
      </w:r>
      <w:r w:rsidR="5FC7E110" w:rsidRPr="06D94285">
        <w:rPr>
          <w:rFonts w:ascii="Calibri" w:eastAsia="Calibri" w:hAnsi="Calibri" w:cs="Calibri"/>
          <w:lang w:val="en-US"/>
        </w:rPr>
        <w:t xml:space="preserve"> </w:t>
      </w:r>
      <w:r w:rsidR="01DB0590" w:rsidRPr="06D94285">
        <w:rPr>
          <w:rFonts w:ascii="Calibri" w:eastAsia="Calibri" w:hAnsi="Calibri" w:cs="Calibri"/>
          <w:lang w:val="en-US"/>
        </w:rPr>
        <w:t xml:space="preserve">around aquatic ecosystems </w:t>
      </w:r>
      <w:r w:rsidR="5FC7E110" w:rsidRPr="06D94285">
        <w:rPr>
          <w:rFonts w:ascii="Calibri" w:eastAsia="Calibri" w:hAnsi="Calibri" w:cs="Calibri"/>
          <w:lang w:val="en-US"/>
        </w:rPr>
        <w:t>(</w:t>
      </w:r>
      <w:hyperlink r:id="rId22">
        <w:r w:rsidR="5FC7E110" w:rsidRPr="06D94285">
          <w:rPr>
            <w:rStyle w:val="Hyperlink"/>
            <w:lang w:val="en-US"/>
          </w:rPr>
          <w:t>https://www.waterquality.gov.au/anz-guidelines/guideline-values/default</w:t>
        </w:r>
      </w:hyperlink>
      <w:r w:rsidR="5FC7E110" w:rsidRPr="06D94285">
        <w:rPr>
          <w:rFonts w:ascii="Calibri" w:eastAsia="Calibri" w:hAnsi="Calibri" w:cs="Calibri"/>
          <w:lang w:val="en-US"/>
        </w:rPr>
        <w:t>)</w:t>
      </w:r>
      <w:r w:rsidR="2D604002" w:rsidRPr="06D94285">
        <w:rPr>
          <w:rFonts w:ascii="Calibri" w:eastAsia="Calibri" w:hAnsi="Calibri" w:cs="Calibri"/>
          <w:lang w:val="en-US"/>
        </w:rPr>
        <w:t xml:space="preserve">. </w:t>
      </w:r>
      <w:r w:rsidR="7BB3675C" w:rsidRPr="06D94285">
        <w:rPr>
          <w:rFonts w:ascii="Calibri" w:eastAsia="Calibri" w:hAnsi="Calibri" w:cs="Calibri"/>
          <w:lang w:val="en-US"/>
        </w:rPr>
        <w:t>T</w:t>
      </w:r>
      <w:r w:rsidR="7E380A90" w:rsidRPr="06D94285">
        <w:rPr>
          <w:rFonts w:ascii="Calibri" w:eastAsia="Calibri" w:hAnsi="Calibri" w:cs="Calibri"/>
          <w:lang w:val="en-US"/>
        </w:rPr>
        <w:t xml:space="preserve">he guidelines acknowledge these gaps and state ‘Terrestrial and semi-terrestrial wildlife linked to aquatic food chains are at risk from a suite of water-borne contaminants that can bioaccumulate in organisms and biomagnify along the food chain. In these instances, guideline values that protect aquatic species from waterborne contaminants may not convey safety for species that consume aquatic </w:t>
      </w:r>
      <w:proofErr w:type="gramStart"/>
      <w:r w:rsidR="7E380A90" w:rsidRPr="06D94285">
        <w:rPr>
          <w:rFonts w:ascii="Calibri" w:eastAsia="Calibri" w:hAnsi="Calibri" w:cs="Calibri"/>
          <w:lang w:val="en-US"/>
        </w:rPr>
        <w:t>organisms’</w:t>
      </w:r>
      <w:proofErr w:type="gramEnd"/>
      <w:r w:rsidR="7E380A90" w:rsidRPr="06D94285">
        <w:rPr>
          <w:rFonts w:ascii="Calibri" w:eastAsia="Calibri" w:hAnsi="Calibri" w:cs="Calibri"/>
          <w:lang w:val="en-US"/>
        </w:rPr>
        <w:t>.</w:t>
      </w:r>
      <w:r w:rsidR="23872AC8" w:rsidRPr="06D94285">
        <w:rPr>
          <w:rFonts w:ascii="Calibri" w:eastAsia="Calibri" w:hAnsi="Calibri" w:cs="Calibri"/>
          <w:lang w:val="en-US"/>
        </w:rPr>
        <w:t xml:space="preserve"> </w:t>
      </w:r>
    </w:p>
    <w:p w14:paraId="19337DA1" w14:textId="40DE6E3C" w:rsidR="4301F19E" w:rsidRDefault="1B3BBF66" w:rsidP="0BC3E3B1">
      <w:pPr>
        <w:rPr>
          <w:rFonts w:ascii="Calibri" w:eastAsia="Calibri" w:hAnsi="Calibri" w:cs="Calibri"/>
          <w:b/>
          <w:bCs/>
        </w:rPr>
      </w:pPr>
      <w:r w:rsidRPr="0BC3E3B1">
        <w:rPr>
          <w:rFonts w:ascii="Calibri" w:eastAsia="Calibri" w:hAnsi="Calibri" w:cs="Calibri"/>
        </w:rPr>
        <w:t xml:space="preserve">It is not within the scope of the ANZG </w:t>
      </w:r>
      <w:r w:rsidR="00EB1A43">
        <w:rPr>
          <w:rFonts w:ascii="Calibri" w:eastAsia="Calibri" w:hAnsi="Calibri" w:cs="Calibri"/>
        </w:rPr>
        <w:t>(</w:t>
      </w:r>
      <w:r w:rsidRPr="0BC3E3B1">
        <w:rPr>
          <w:rFonts w:ascii="Calibri" w:eastAsia="Calibri" w:hAnsi="Calibri" w:cs="Calibri"/>
        </w:rPr>
        <w:t>2018</w:t>
      </w:r>
      <w:r w:rsidR="00EB1A43">
        <w:rPr>
          <w:rFonts w:ascii="Calibri" w:eastAsia="Calibri" w:hAnsi="Calibri" w:cs="Calibri"/>
        </w:rPr>
        <w:t>)</w:t>
      </w:r>
      <w:r w:rsidRPr="0BC3E3B1">
        <w:rPr>
          <w:rFonts w:ascii="Calibri" w:eastAsia="Calibri" w:hAnsi="Calibri" w:cs="Calibri"/>
        </w:rPr>
        <w:t xml:space="preserve"> </w:t>
      </w:r>
      <w:r w:rsidR="00EB1A43">
        <w:rPr>
          <w:rFonts w:ascii="Calibri" w:eastAsia="Calibri" w:hAnsi="Calibri" w:cs="Calibri"/>
        </w:rPr>
        <w:t>Guidelines</w:t>
      </w:r>
      <w:r w:rsidR="00EB1A43" w:rsidRPr="0BC3E3B1">
        <w:rPr>
          <w:rFonts w:ascii="Calibri" w:eastAsia="Calibri" w:hAnsi="Calibri" w:cs="Calibri"/>
        </w:rPr>
        <w:t xml:space="preserve"> </w:t>
      </w:r>
      <w:r w:rsidRPr="0BC3E3B1">
        <w:rPr>
          <w:rFonts w:ascii="Calibri" w:eastAsia="Calibri" w:hAnsi="Calibri" w:cs="Calibri"/>
        </w:rPr>
        <w:t>to address impacts to these organisms. To fill this data gap, the state and federal governments have provided guidance in the National Environmental Management Plan on PFAS (NEMP 3.0)</w:t>
      </w:r>
      <w:r w:rsidR="5D261008" w:rsidRPr="0BC3E3B1">
        <w:rPr>
          <w:rFonts w:ascii="Calibri" w:eastAsia="Calibri" w:hAnsi="Calibri" w:cs="Calibri"/>
        </w:rPr>
        <w:t>.</w:t>
      </w:r>
      <w:r w:rsidR="5B3432DC" w:rsidRPr="0BC3E3B1">
        <w:rPr>
          <w:rFonts w:ascii="Calibri" w:eastAsia="Calibri" w:hAnsi="Calibri" w:cs="Calibri"/>
        </w:rPr>
        <w:t xml:space="preserve"> </w:t>
      </w:r>
      <w:r w:rsidRPr="0BC3E3B1">
        <w:rPr>
          <w:rFonts w:ascii="Calibri" w:eastAsia="Calibri" w:hAnsi="Calibri" w:cs="Calibri"/>
        </w:rPr>
        <w:t xml:space="preserve"> </w:t>
      </w:r>
      <w:r w:rsidRPr="0BC3E3B1">
        <w:rPr>
          <w:rFonts w:ascii="Calibri" w:eastAsia="Calibri" w:hAnsi="Calibri" w:cs="Calibri"/>
          <w:b/>
          <w:bCs/>
        </w:rPr>
        <w:t>Further, the ANZG 2018 WQGs promote the use of multiple lines of evidence to assess potential impacts to aquatic ecosystems, rather than simply applying a DGV.</w:t>
      </w:r>
    </w:p>
    <w:p w14:paraId="47F03306" w14:textId="6765BD0F" w:rsidR="23872AC8" w:rsidRDefault="766332B9" w:rsidP="06D94285">
      <w:pPr>
        <w:rPr>
          <w:rFonts w:ascii="Calibri" w:eastAsia="Calibri" w:hAnsi="Calibri" w:cs="Calibri"/>
          <w:lang w:val="en-US"/>
        </w:rPr>
      </w:pPr>
      <w:r w:rsidRPr="06D94285">
        <w:rPr>
          <w:rFonts w:ascii="Calibri" w:eastAsia="Calibri" w:hAnsi="Calibri" w:cs="Calibri"/>
          <w:lang w:val="en-US"/>
        </w:rPr>
        <w:lastRenderedPageBreak/>
        <w:t xml:space="preserve">ANZG </w:t>
      </w:r>
      <w:r w:rsidR="00EB1A43">
        <w:rPr>
          <w:rFonts w:ascii="Calibri" w:eastAsia="Calibri" w:hAnsi="Calibri" w:cs="Calibri"/>
          <w:lang w:val="en-US"/>
        </w:rPr>
        <w:t>(</w:t>
      </w:r>
      <w:r w:rsidR="226647BF" w:rsidRPr="06D94285">
        <w:rPr>
          <w:rFonts w:ascii="Calibri" w:eastAsia="Calibri" w:hAnsi="Calibri" w:cs="Calibri"/>
          <w:lang w:val="en-US"/>
        </w:rPr>
        <w:t>2018</w:t>
      </w:r>
      <w:r w:rsidR="00EB1A43">
        <w:rPr>
          <w:rFonts w:ascii="Calibri" w:eastAsia="Calibri" w:hAnsi="Calibri" w:cs="Calibri"/>
          <w:lang w:val="en-US"/>
        </w:rPr>
        <w:t>)</w:t>
      </w:r>
      <w:r w:rsidR="226647BF" w:rsidRPr="06D94285">
        <w:rPr>
          <w:rFonts w:ascii="Calibri" w:eastAsia="Calibri" w:hAnsi="Calibri" w:cs="Calibri"/>
          <w:lang w:val="en-US"/>
        </w:rPr>
        <w:t xml:space="preserve"> </w:t>
      </w:r>
      <w:r w:rsidR="0BC0637F" w:rsidRPr="06D94285">
        <w:rPr>
          <w:rFonts w:ascii="Calibri" w:eastAsia="Calibri" w:hAnsi="Calibri" w:cs="Calibri"/>
          <w:lang w:val="en-US"/>
        </w:rPr>
        <w:t>cite</w:t>
      </w:r>
      <w:r w:rsidR="00EB1A43">
        <w:rPr>
          <w:rFonts w:ascii="Calibri" w:eastAsia="Calibri" w:hAnsi="Calibri" w:cs="Calibri"/>
          <w:lang w:val="en-US"/>
        </w:rPr>
        <w:t>s</w:t>
      </w:r>
      <w:r w:rsidR="0BC0637F" w:rsidRPr="06D94285">
        <w:rPr>
          <w:rFonts w:ascii="Calibri" w:eastAsia="Calibri" w:hAnsi="Calibri" w:cs="Calibri"/>
          <w:lang w:val="en-US"/>
        </w:rPr>
        <w:t xml:space="preserve"> sections 8.3.3.4 and 8.3.5.7 of </w:t>
      </w:r>
      <w:r w:rsidR="23872AC8" w:rsidRPr="06D94285">
        <w:rPr>
          <w:rFonts w:ascii="Calibri" w:eastAsia="Calibri" w:hAnsi="Calibri" w:cs="Calibri"/>
          <w:lang w:val="en-US"/>
        </w:rPr>
        <w:t>ANZECC</w:t>
      </w:r>
      <w:r w:rsidR="00EB1A43">
        <w:rPr>
          <w:rFonts w:ascii="Calibri" w:eastAsia="Calibri" w:hAnsi="Calibri" w:cs="Calibri"/>
          <w:lang w:val="en-US"/>
        </w:rPr>
        <w:t>/ARMCANZ</w:t>
      </w:r>
      <w:r w:rsidR="23872AC8" w:rsidRPr="06D94285">
        <w:rPr>
          <w:rFonts w:ascii="Calibri" w:eastAsia="Calibri" w:hAnsi="Calibri" w:cs="Calibri"/>
          <w:lang w:val="en-US"/>
        </w:rPr>
        <w:t xml:space="preserve"> (2000)</w:t>
      </w:r>
      <w:r w:rsidR="1AC04EC2" w:rsidRPr="06D94285">
        <w:rPr>
          <w:rFonts w:ascii="Calibri" w:eastAsia="Calibri" w:hAnsi="Calibri" w:cs="Calibri"/>
          <w:lang w:val="en-US"/>
        </w:rPr>
        <w:t xml:space="preserve"> to address bioaccumulation</w:t>
      </w:r>
      <w:r w:rsidR="339528B1" w:rsidRPr="06D94285">
        <w:rPr>
          <w:rFonts w:ascii="Calibri" w:eastAsia="Calibri" w:hAnsi="Calibri" w:cs="Calibri"/>
          <w:lang w:val="en-US"/>
        </w:rPr>
        <w:t>,</w:t>
      </w:r>
      <w:r w:rsidR="23872AC8" w:rsidRPr="06D94285">
        <w:rPr>
          <w:rFonts w:ascii="Calibri" w:eastAsia="Calibri" w:hAnsi="Calibri" w:cs="Calibri"/>
          <w:lang w:val="en-US"/>
        </w:rPr>
        <w:t xml:space="preserve"> but </w:t>
      </w:r>
      <w:r w:rsidR="70D7F455" w:rsidRPr="06D94285">
        <w:rPr>
          <w:rFonts w:ascii="Calibri" w:eastAsia="Calibri" w:hAnsi="Calibri" w:cs="Calibri"/>
          <w:lang w:val="en-US"/>
        </w:rPr>
        <w:t>acknowledge</w:t>
      </w:r>
      <w:r w:rsidR="00E04571">
        <w:rPr>
          <w:rFonts w:ascii="Calibri" w:eastAsia="Calibri" w:hAnsi="Calibri" w:cs="Calibri"/>
          <w:lang w:val="en-US"/>
        </w:rPr>
        <w:t>s</w:t>
      </w:r>
      <w:r w:rsidR="70D7F455" w:rsidRPr="06D94285">
        <w:rPr>
          <w:rFonts w:ascii="Calibri" w:eastAsia="Calibri" w:hAnsi="Calibri" w:cs="Calibri"/>
          <w:lang w:val="en-US"/>
        </w:rPr>
        <w:t xml:space="preserve"> t</w:t>
      </w:r>
      <w:r w:rsidR="203EB7E6" w:rsidRPr="06D94285">
        <w:rPr>
          <w:rFonts w:ascii="Calibri" w:eastAsia="Calibri" w:hAnsi="Calibri" w:cs="Calibri"/>
          <w:lang w:val="en-US"/>
        </w:rPr>
        <w:t>h</w:t>
      </w:r>
      <w:r w:rsidR="1B22422C" w:rsidRPr="06D94285">
        <w:rPr>
          <w:rFonts w:ascii="Calibri" w:eastAsia="Calibri" w:hAnsi="Calibri" w:cs="Calibri"/>
          <w:lang w:val="en-US"/>
        </w:rPr>
        <w:t xml:space="preserve">e </w:t>
      </w:r>
      <w:r w:rsidR="5259F578" w:rsidRPr="06D94285">
        <w:rPr>
          <w:rFonts w:ascii="Calibri" w:eastAsia="Calibri" w:hAnsi="Calibri" w:cs="Calibri"/>
          <w:lang w:val="en-US"/>
        </w:rPr>
        <w:t>information</w:t>
      </w:r>
      <w:r w:rsidR="1B22422C" w:rsidRPr="06D94285">
        <w:rPr>
          <w:rFonts w:ascii="Calibri" w:eastAsia="Calibri" w:hAnsi="Calibri" w:cs="Calibri"/>
          <w:lang w:val="en-US"/>
        </w:rPr>
        <w:t xml:space="preserve"> contained in t</w:t>
      </w:r>
      <w:r w:rsidR="23872AC8" w:rsidRPr="06D94285">
        <w:rPr>
          <w:rFonts w:ascii="Calibri" w:eastAsia="Calibri" w:hAnsi="Calibri" w:cs="Calibri"/>
          <w:lang w:val="en-US"/>
        </w:rPr>
        <w:t xml:space="preserve">hese </w:t>
      </w:r>
      <w:r w:rsidR="07CCE0CE" w:rsidRPr="06D94285">
        <w:rPr>
          <w:rFonts w:ascii="Calibri" w:eastAsia="Calibri" w:hAnsi="Calibri" w:cs="Calibri"/>
          <w:lang w:val="en-US"/>
        </w:rPr>
        <w:t xml:space="preserve">sections </w:t>
      </w:r>
      <w:r w:rsidR="179601B0" w:rsidRPr="06D94285">
        <w:rPr>
          <w:rFonts w:ascii="Calibri" w:eastAsia="Calibri" w:hAnsi="Calibri" w:cs="Calibri"/>
          <w:lang w:val="en-US"/>
        </w:rPr>
        <w:t>ar</w:t>
      </w:r>
      <w:r w:rsidR="23872AC8" w:rsidRPr="06D94285">
        <w:rPr>
          <w:rFonts w:ascii="Calibri" w:eastAsia="Calibri" w:hAnsi="Calibri" w:cs="Calibri"/>
          <w:lang w:val="en-US"/>
        </w:rPr>
        <w:t>e</w:t>
      </w:r>
      <w:r w:rsidR="76C3E1D8" w:rsidRPr="06D94285">
        <w:rPr>
          <w:rFonts w:ascii="Calibri" w:eastAsia="Calibri" w:hAnsi="Calibri" w:cs="Calibri"/>
          <w:lang w:val="en-US"/>
        </w:rPr>
        <w:t xml:space="preserve"> dated (i.e. close to 25 years old)</w:t>
      </w:r>
      <w:r w:rsidR="23872AC8" w:rsidRPr="06D94285">
        <w:rPr>
          <w:rFonts w:ascii="Calibri" w:eastAsia="Calibri" w:hAnsi="Calibri" w:cs="Calibri"/>
          <w:lang w:val="en-US"/>
        </w:rPr>
        <w:t xml:space="preserve">. </w:t>
      </w:r>
      <w:r w:rsidR="409F7E14" w:rsidRPr="06D94285">
        <w:rPr>
          <w:rFonts w:ascii="Calibri" w:eastAsia="Calibri" w:hAnsi="Calibri" w:cs="Calibri"/>
          <w:lang w:val="en-US"/>
        </w:rPr>
        <w:t xml:space="preserve"> T</w:t>
      </w:r>
      <w:r w:rsidR="23872AC8" w:rsidRPr="06D94285">
        <w:rPr>
          <w:rFonts w:ascii="Calibri" w:eastAsia="Calibri" w:hAnsi="Calibri" w:cs="Calibri"/>
          <w:lang w:val="en-US"/>
        </w:rPr>
        <w:t xml:space="preserve">his is particularly the case </w:t>
      </w:r>
      <w:r w:rsidR="52000492" w:rsidRPr="06D94285">
        <w:rPr>
          <w:rFonts w:ascii="Calibri" w:eastAsia="Calibri" w:hAnsi="Calibri" w:cs="Calibri"/>
          <w:lang w:val="en-US"/>
        </w:rPr>
        <w:t xml:space="preserve">for </w:t>
      </w:r>
      <w:r w:rsidR="23872AC8" w:rsidRPr="06D94285">
        <w:rPr>
          <w:rFonts w:ascii="Calibri" w:eastAsia="Calibri" w:hAnsi="Calibri" w:cs="Calibri"/>
          <w:lang w:val="en-US"/>
        </w:rPr>
        <w:t xml:space="preserve">PFOS, where </w:t>
      </w:r>
      <w:r w:rsidR="1A5B51DD" w:rsidRPr="06D94285">
        <w:rPr>
          <w:rFonts w:ascii="Calibri" w:eastAsia="Calibri" w:hAnsi="Calibri" w:cs="Calibri"/>
          <w:lang w:val="en-US"/>
        </w:rPr>
        <w:t xml:space="preserve">the mechanisms of bioaccumulation are still not completely </w:t>
      </w:r>
      <w:r w:rsidR="6371F2EF" w:rsidRPr="06D94285">
        <w:rPr>
          <w:rFonts w:ascii="Calibri" w:eastAsia="Calibri" w:hAnsi="Calibri" w:cs="Calibri"/>
          <w:lang w:val="en-US"/>
        </w:rPr>
        <w:t>understood</w:t>
      </w:r>
      <w:r w:rsidR="318C7665" w:rsidRPr="06D94285">
        <w:rPr>
          <w:rFonts w:ascii="Calibri" w:eastAsia="Calibri" w:hAnsi="Calibri" w:cs="Calibri"/>
          <w:lang w:val="en-US"/>
        </w:rPr>
        <w:t xml:space="preserve">. PFOS and other PFAS </w:t>
      </w:r>
      <w:r w:rsidR="3C8E438A" w:rsidRPr="06D94285">
        <w:rPr>
          <w:rFonts w:ascii="Calibri" w:eastAsia="Calibri" w:hAnsi="Calibri" w:cs="Calibri"/>
          <w:lang w:val="en-US"/>
        </w:rPr>
        <w:t>do not appear to behave like other organic compounds</w:t>
      </w:r>
      <w:r w:rsidR="141B2842" w:rsidRPr="06D94285">
        <w:rPr>
          <w:rFonts w:ascii="Calibri" w:eastAsia="Calibri" w:hAnsi="Calibri" w:cs="Calibri"/>
          <w:lang w:val="en-US"/>
        </w:rPr>
        <w:t xml:space="preserve"> (De Silva et al 2021)</w:t>
      </w:r>
      <w:r w:rsidR="0162C60C" w:rsidRPr="06D94285">
        <w:rPr>
          <w:rFonts w:ascii="Calibri" w:eastAsia="Calibri" w:hAnsi="Calibri" w:cs="Calibri"/>
          <w:lang w:val="en-US"/>
        </w:rPr>
        <w:t>. It is known that PF</w:t>
      </w:r>
      <w:r w:rsidR="3E47F8B1" w:rsidRPr="06D94285">
        <w:rPr>
          <w:rFonts w:ascii="Calibri" w:eastAsia="Calibri" w:hAnsi="Calibri" w:cs="Calibri"/>
          <w:lang w:val="en-US"/>
        </w:rPr>
        <w:t>O</w:t>
      </w:r>
      <w:r w:rsidR="0162C60C" w:rsidRPr="06D94285">
        <w:rPr>
          <w:rFonts w:ascii="Calibri" w:eastAsia="Calibri" w:hAnsi="Calibri" w:cs="Calibri"/>
          <w:lang w:val="en-US"/>
        </w:rPr>
        <w:t xml:space="preserve">S </w:t>
      </w:r>
      <w:r w:rsidR="1A5B51DD" w:rsidRPr="06D94285">
        <w:rPr>
          <w:rFonts w:ascii="Calibri" w:eastAsia="Calibri" w:hAnsi="Calibri" w:cs="Calibri"/>
          <w:lang w:val="en-US"/>
        </w:rPr>
        <w:t>impact</w:t>
      </w:r>
      <w:r w:rsidR="1D9F359C" w:rsidRPr="06D94285">
        <w:rPr>
          <w:rFonts w:ascii="Calibri" w:eastAsia="Calibri" w:hAnsi="Calibri" w:cs="Calibri"/>
          <w:lang w:val="en-US"/>
        </w:rPr>
        <w:t xml:space="preserve">s </w:t>
      </w:r>
      <w:r w:rsidR="1A5B51DD" w:rsidRPr="06D94285">
        <w:rPr>
          <w:rFonts w:ascii="Calibri" w:eastAsia="Calibri" w:hAnsi="Calibri" w:cs="Calibri"/>
          <w:lang w:val="en-US"/>
        </w:rPr>
        <w:t xml:space="preserve">higher order consumers </w:t>
      </w:r>
      <w:r w:rsidR="52BF2679" w:rsidRPr="06D94285">
        <w:rPr>
          <w:rFonts w:ascii="Calibri" w:eastAsia="Calibri" w:hAnsi="Calibri" w:cs="Calibri"/>
          <w:lang w:val="en-US"/>
        </w:rPr>
        <w:t xml:space="preserve">that are reliant on the aquatic </w:t>
      </w:r>
      <w:r w:rsidR="1A5B51DD" w:rsidRPr="06D94285">
        <w:rPr>
          <w:rFonts w:ascii="Calibri" w:eastAsia="Calibri" w:hAnsi="Calibri" w:cs="Calibri"/>
          <w:lang w:val="en-US"/>
        </w:rPr>
        <w:t>food chain</w:t>
      </w:r>
      <w:r w:rsidR="3DB560B9" w:rsidRPr="06D94285">
        <w:rPr>
          <w:rFonts w:ascii="Calibri" w:eastAsia="Calibri" w:hAnsi="Calibri" w:cs="Calibri"/>
          <w:lang w:val="en-US"/>
        </w:rPr>
        <w:t xml:space="preserve">, particularly those </w:t>
      </w:r>
      <w:r w:rsidR="002C3F55">
        <w:rPr>
          <w:rFonts w:ascii="Calibri" w:eastAsia="Calibri" w:hAnsi="Calibri" w:cs="Calibri"/>
          <w:lang w:val="en-US"/>
        </w:rPr>
        <w:t xml:space="preserve">that </w:t>
      </w:r>
      <w:r w:rsidR="1A5B51DD" w:rsidRPr="06D94285">
        <w:rPr>
          <w:rFonts w:ascii="Calibri" w:eastAsia="Calibri" w:hAnsi="Calibri" w:cs="Calibri"/>
          <w:lang w:val="en-US"/>
        </w:rPr>
        <w:t>do not respire via gill</w:t>
      </w:r>
      <w:r w:rsidR="29FEE1F4" w:rsidRPr="06D94285">
        <w:rPr>
          <w:rFonts w:ascii="Calibri" w:eastAsia="Calibri" w:hAnsi="Calibri" w:cs="Calibri"/>
          <w:lang w:val="en-US"/>
        </w:rPr>
        <w:t xml:space="preserve">s (De Silva et al 2021). </w:t>
      </w:r>
      <w:r w:rsidR="2A6F9C23" w:rsidRPr="06D94285">
        <w:rPr>
          <w:rFonts w:ascii="Calibri" w:eastAsia="Calibri" w:hAnsi="Calibri" w:cs="Calibri"/>
          <w:lang w:val="en-US"/>
        </w:rPr>
        <w:t>Although PFOS</w:t>
      </w:r>
      <w:r w:rsidR="33DDF330" w:rsidRPr="06D94285">
        <w:rPr>
          <w:rFonts w:ascii="Calibri" w:eastAsia="Calibri" w:hAnsi="Calibri" w:cs="Calibri"/>
          <w:lang w:val="en-US"/>
        </w:rPr>
        <w:t xml:space="preserve"> is rarely </w:t>
      </w:r>
      <w:r w:rsidR="7CE83575" w:rsidRPr="06D94285">
        <w:rPr>
          <w:rFonts w:ascii="Calibri" w:eastAsia="Calibri" w:hAnsi="Calibri" w:cs="Calibri"/>
          <w:lang w:val="en-US"/>
        </w:rPr>
        <w:t xml:space="preserve">measured as a </w:t>
      </w:r>
      <w:r w:rsidR="33DDF330" w:rsidRPr="06D94285">
        <w:rPr>
          <w:rFonts w:ascii="Calibri" w:eastAsia="Calibri" w:hAnsi="Calibri" w:cs="Calibri"/>
          <w:lang w:val="en-US"/>
        </w:rPr>
        <w:t xml:space="preserve">single PFAS in the environment, PFOS </w:t>
      </w:r>
      <w:r w:rsidR="76641500" w:rsidRPr="06D94285">
        <w:rPr>
          <w:rFonts w:ascii="Calibri" w:eastAsia="Calibri" w:hAnsi="Calibri" w:cs="Calibri"/>
          <w:lang w:val="en-US"/>
        </w:rPr>
        <w:t>appears to b</w:t>
      </w:r>
      <w:r w:rsidR="33DDF330" w:rsidRPr="06D94285">
        <w:rPr>
          <w:rFonts w:ascii="Calibri" w:eastAsia="Calibri" w:hAnsi="Calibri" w:cs="Calibri"/>
          <w:lang w:val="en-US"/>
        </w:rPr>
        <w:t>e</w:t>
      </w:r>
      <w:r w:rsidR="71A7D7F3" w:rsidRPr="06D94285">
        <w:rPr>
          <w:rFonts w:ascii="Calibri" w:eastAsia="Calibri" w:hAnsi="Calibri" w:cs="Calibri"/>
          <w:lang w:val="en-US"/>
        </w:rPr>
        <w:t xml:space="preserve"> the</w:t>
      </w:r>
      <w:r w:rsidR="33DDF330" w:rsidRPr="06D94285">
        <w:rPr>
          <w:rFonts w:ascii="Calibri" w:eastAsia="Calibri" w:hAnsi="Calibri" w:cs="Calibri"/>
          <w:lang w:val="en-US"/>
        </w:rPr>
        <w:t xml:space="preserve"> dominant PFAS in Australian </w:t>
      </w:r>
      <w:r w:rsidR="42180259" w:rsidRPr="06D94285">
        <w:rPr>
          <w:rFonts w:ascii="Calibri" w:eastAsia="Calibri" w:hAnsi="Calibri" w:cs="Calibri"/>
          <w:lang w:val="en-US"/>
        </w:rPr>
        <w:t xml:space="preserve">air breathing </w:t>
      </w:r>
      <w:r w:rsidR="157FC514" w:rsidRPr="06D94285">
        <w:rPr>
          <w:rFonts w:ascii="Calibri" w:eastAsia="Calibri" w:hAnsi="Calibri" w:cs="Calibri"/>
          <w:lang w:val="en-US"/>
        </w:rPr>
        <w:t xml:space="preserve">biota (e.g. Letthoof et al 2023; Sharp et al 2021; Vardy et al 2024). </w:t>
      </w:r>
      <w:r w:rsidR="55177B59" w:rsidRPr="06D94285">
        <w:rPr>
          <w:rFonts w:ascii="Calibri" w:eastAsia="Calibri" w:hAnsi="Calibri" w:cs="Calibri"/>
          <w:lang w:val="en-US"/>
        </w:rPr>
        <w:t xml:space="preserve"> Further, the assessment of PFOS in aquatic ecosystems is confounded by the potential presence of PFOS </w:t>
      </w:r>
      <w:r w:rsidR="00E40C27" w:rsidRPr="06D94285">
        <w:rPr>
          <w:rFonts w:ascii="Calibri" w:eastAsia="Calibri" w:hAnsi="Calibri" w:cs="Calibri"/>
          <w:lang w:val="en-US"/>
        </w:rPr>
        <w:t>precursors</w:t>
      </w:r>
      <w:r w:rsidR="55177B59" w:rsidRPr="06D94285">
        <w:rPr>
          <w:rFonts w:ascii="Calibri" w:eastAsia="Calibri" w:hAnsi="Calibri" w:cs="Calibri"/>
          <w:lang w:val="en-US"/>
        </w:rPr>
        <w:t xml:space="preserve">, and their transformation to PFOS within aquatic ecosystems and organisms (e.g. Kolanczyk et al 2023).  Direct measurement of biota allows for direct assessment.   </w:t>
      </w:r>
    </w:p>
    <w:p w14:paraId="5681F20E" w14:textId="7ED24B3A" w:rsidR="4301F19E" w:rsidRDefault="49232365" w:rsidP="06D94285">
      <w:pPr>
        <w:rPr>
          <w:rFonts w:ascii="Calibri" w:eastAsia="Calibri" w:hAnsi="Calibri" w:cs="Calibri"/>
          <w:lang w:val="en-US"/>
        </w:rPr>
      </w:pPr>
      <w:r w:rsidRPr="2C4E3B28">
        <w:rPr>
          <w:rFonts w:ascii="Calibri" w:eastAsia="Calibri" w:hAnsi="Calibri" w:cs="Calibri"/>
          <w:lang w:val="en-US"/>
        </w:rPr>
        <w:t>A</w:t>
      </w:r>
      <w:r w:rsidR="6E8530E6" w:rsidRPr="2C4E3B28">
        <w:rPr>
          <w:rFonts w:ascii="Calibri" w:eastAsia="Calibri" w:hAnsi="Calibri" w:cs="Calibri"/>
          <w:lang w:val="en-US"/>
        </w:rPr>
        <w:t xml:space="preserve"> concern that PFOS detected in organisms that </w:t>
      </w:r>
      <w:r w:rsidR="0976C850" w:rsidRPr="2C4E3B28">
        <w:rPr>
          <w:rFonts w:ascii="Calibri" w:eastAsia="Calibri" w:hAnsi="Calibri" w:cs="Calibri"/>
          <w:lang w:val="en-US"/>
        </w:rPr>
        <w:t xml:space="preserve">have moved from an area with higher PFOS present to </w:t>
      </w:r>
      <w:r w:rsidR="2E56EAAD" w:rsidRPr="2C4E3B28">
        <w:rPr>
          <w:rFonts w:ascii="Calibri" w:eastAsia="Calibri" w:hAnsi="Calibri" w:cs="Calibri"/>
          <w:lang w:val="en-US"/>
        </w:rPr>
        <w:t>one with a lower concentration will confound assessments of</w:t>
      </w:r>
      <w:r w:rsidR="7D9E9602" w:rsidRPr="2C4E3B28">
        <w:rPr>
          <w:rFonts w:ascii="Calibri" w:eastAsia="Calibri" w:hAnsi="Calibri" w:cs="Calibri"/>
          <w:lang w:val="en-US"/>
        </w:rPr>
        <w:t xml:space="preserve"> PFOS from a particular site</w:t>
      </w:r>
      <w:r w:rsidR="7C45EB32" w:rsidRPr="2C4E3B28">
        <w:rPr>
          <w:rFonts w:ascii="Calibri" w:eastAsia="Calibri" w:hAnsi="Calibri" w:cs="Calibri"/>
          <w:lang w:val="en-US"/>
        </w:rPr>
        <w:t>,</w:t>
      </w:r>
      <w:r w:rsidR="7D9E9602" w:rsidRPr="2C4E3B28">
        <w:rPr>
          <w:rFonts w:ascii="Calibri" w:eastAsia="Calibri" w:hAnsi="Calibri" w:cs="Calibri"/>
          <w:lang w:val="en-US"/>
        </w:rPr>
        <w:t xml:space="preserve"> has</w:t>
      </w:r>
      <w:r w:rsidR="7E436795" w:rsidRPr="2C4E3B28">
        <w:rPr>
          <w:rFonts w:ascii="Calibri" w:eastAsia="Calibri" w:hAnsi="Calibri" w:cs="Calibri"/>
          <w:lang w:val="en-US"/>
        </w:rPr>
        <w:t xml:space="preserve"> </w:t>
      </w:r>
      <w:r w:rsidR="51E1F5A1" w:rsidRPr="2C4E3B28">
        <w:rPr>
          <w:rFonts w:ascii="Calibri" w:eastAsia="Calibri" w:hAnsi="Calibri" w:cs="Calibri"/>
          <w:lang w:val="en-US"/>
        </w:rPr>
        <w:t xml:space="preserve">also </w:t>
      </w:r>
      <w:r w:rsidR="7E436795" w:rsidRPr="2C4E3B28">
        <w:rPr>
          <w:rFonts w:ascii="Calibri" w:eastAsia="Calibri" w:hAnsi="Calibri" w:cs="Calibri"/>
          <w:lang w:val="en-US"/>
        </w:rPr>
        <w:t xml:space="preserve">been raised. This may apply to all biomonitoring programs that have been traditionally undertaken (e.g. </w:t>
      </w:r>
      <w:r w:rsidR="0B8AC386" w:rsidRPr="2C4E3B28">
        <w:rPr>
          <w:rFonts w:ascii="Calibri" w:eastAsia="Calibri" w:hAnsi="Calibri" w:cs="Calibri"/>
          <w:lang w:val="en-US"/>
        </w:rPr>
        <w:t>mercury</w:t>
      </w:r>
      <w:r w:rsidR="7C8B00E7" w:rsidRPr="2C4E3B28">
        <w:rPr>
          <w:rFonts w:ascii="Calibri" w:eastAsia="Calibri" w:hAnsi="Calibri" w:cs="Calibri"/>
          <w:lang w:val="en-US"/>
        </w:rPr>
        <w:t>,</w:t>
      </w:r>
      <w:r w:rsidR="7E436795" w:rsidRPr="2C4E3B28">
        <w:rPr>
          <w:rFonts w:ascii="Calibri" w:eastAsia="Calibri" w:hAnsi="Calibri" w:cs="Calibri"/>
          <w:lang w:val="en-US"/>
        </w:rPr>
        <w:t xml:space="preserve"> pest</w:t>
      </w:r>
      <w:r w:rsidR="3E9A46E1" w:rsidRPr="2C4E3B28">
        <w:rPr>
          <w:rFonts w:ascii="Calibri" w:eastAsia="Calibri" w:hAnsi="Calibri" w:cs="Calibri"/>
          <w:lang w:val="en-US"/>
        </w:rPr>
        <w:t>icides</w:t>
      </w:r>
      <w:r w:rsidR="00840120" w:rsidRPr="2C4E3B28">
        <w:rPr>
          <w:rFonts w:ascii="Calibri" w:eastAsia="Calibri" w:hAnsi="Calibri" w:cs="Calibri"/>
          <w:lang w:val="en-US"/>
        </w:rPr>
        <w:t>,</w:t>
      </w:r>
      <w:r w:rsidR="3E9A46E1" w:rsidRPr="2C4E3B28">
        <w:rPr>
          <w:rFonts w:ascii="Calibri" w:eastAsia="Calibri" w:hAnsi="Calibri" w:cs="Calibri"/>
          <w:lang w:val="en-US"/>
        </w:rPr>
        <w:t xml:space="preserve"> etc</w:t>
      </w:r>
      <w:r w:rsidR="76AE0BD2" w:rsidRPr="2C4E3B28">
        <w:rPr>
          <w:rFonts w:ascii="Calibri" w:eastAsia="Calibri" w:hAnsi="Calibri" w:cs="Calibri"/>
          <w:lang w:val="en-US"/>
        </w:rPr>
        <w:t>.</w:t>
      </w:r>
      <w:r w:rsidR="3E9A46E1" w:rsidRPr="2C4E3B28">
        <w:rPr>
          <w:rFonts w:ascii="Calibri" w:eastAsia="Calibri" w:hAnsi="Calibri" w:cs="Calibri"/>
          <w:lang w:val="en-US"/>
        </w:rPr>
        <w:t xml:space="preserve">). A </w:t>
      </w:r>
      <w:r w:rsidR="7927A919" w:rsidRPr="2C4E3B28">
        <w:rPr>
          <w:rFonts w:ascii="Calibri" w:eastAsia="Calibri" w:hAnsi="Calibri" w:cs="Calibri"/>
          <w:lang w:val="en-US"/>
        </w:rPr>
        <w:t>well-designed</w:t>
      </w:r>
      <w:r w:rsidR="3E9A46E1" w:rsidRPr="2C4E3B28">
        <w:rPr>
          <w:rFonts w:ascii="Calibri" w:eastAsia="Calibri" w:hAnsi="Calibri" w:cs="Calibri"/>
          <w:lang w:val="en-US"/>
        </w:rPr>
        <w:t xml:space="preserve"> monitoring program</w:t>
      </w:r>
      <w:r w:rsidR="19E1B859" w:rsidRPr="2C4E3B28">
        <w:rPr>
          <w:rFonts w:ascii="Calibri" w:eastAsia="Calibri" w:hAnsi="Calibri" w:cs="Calibri"/>
          <w:lang w:val="en-US"/>
        </w:rPr>
        <w:t xml:space="preserve"> with a </w:t>
      </w:r>
      <w:r w:rsidR="3E9A46E1" w:rsidRPr="2C4E3B28">
        <w:rPr>
          <w:rFonts w:ascii="Calibri" w:eastAsia="Calibri" w:hAnsi="Calibri" w:cs="Calibri"/>
          <w:lang w:val="en-US"/>
        </w:rPr>
        <w:t xml:space="preserve">selection of species that are </w:t>
      </w:r>
      <w:r w:rsidR="4D03FA9D" w:rsidRPr="2C4E3B28">
        <w:rPr>
          <w:rFonts w:ascii="Calibri" w:eastAsia="Calibri" w:hAnsi="Calibri" w:cs="Calibri"/>
          <w:lang w:val="en-US"/>
        </w:rPr>
        <w:t>likely to be resident in an area will</w:t>
      </w:r>
      <w:r w:rsidR="671DE418" w:rsidRPr="2C4E3B28">
        <w:rPr>
          <w:rFonts w:ascii="Calibri" w:eastAsia="Calibri" w:hAnsi="Calibri" w:cs="Calibri"/>
          <w:lang w:val="en-US"/>
        </w:rPr>
        <w:t xml:space="preserve"> </w:t>
      </w:r>
      <w:r w:rsidR="25DDE2E5" w:rsidRPr="2C4E3B28">
        <w:rPr>
          <w:rFonts w:ascii="Calibri" w:eastAsia="Calibri" w:hAnsi="Calibri" w:cs="Calibri"/>
          <w:lang w:val="en-US"/>
        </w:rPr>
        <w:t xml:space="preserve">overcome this concern. </w:t>
      </w:r>
    </w:p>
    <w:p w14:paraId="40336CCE" w14:textId="7D580FAB" w:rsidR="4301F19E" w:rsidRDefault="3E7690D3" w:rsidP="06D94285">
      <w:pPr>
        <w:rPr>
          <w:rFonts w:ascii="Calibri" w:eastAsia="Calibri" w:hAnsi="Calibri" w:cs="Calibri"/>
          <w:lang w:val="en-US"/>
        </w:rPr>
      </w:pPr>
      <w:r w:rsidRPr="06D94285">
        <w:rPr>
          <w:rFonts w:ascii="Calibri" w:eastAsia="Calibri" w:hAnsi="Calibri" w:cs="Calibri"/>
          <w:lang w:val="en-US"/>
        </w:rPr>
        <w:t>Note that the information in ANZG (2018) and ANZECC/ARMCANZ (2000) represents guidance</w:t>
      </w:r>
      <w:r w:rsidR="0785D4AF" w:rsidRPr="06D94285">
        <w:rPr>
          <w:rFonts w:ascii="Calibri" w:eastAsia="Calibri" w:hAnsi="Calibri" w:cs="Calibri"/>
          <w:lang w:val="en-US"/>
        </w:rPr>
        <w:t xml:space="preserve"> only and does not reflect regulatory </w:t>
      </w:r>
      <w:r w:rsidR="0D4E41CD" w:rsidRPr="06D94285">
        <w:rPr>
          <w:rFonts w:ascii="Calibri" w:eastAsia="Calibri" w:hAnsi="Calibri" w:cs="Calibri"/>
          <w:lang w:val="en-US"/>
        </w:rPr>
        <w:t>requirements</w:t>
      </w:r>
      <w:r w:rsidRPr="06D94285">
        <w:rPr>
          <w:rFonts w:ascii="Calibri" w:eastAsia="Calibri" w:hAnsi="Calibri" w:cs="Calibri"/>
          <w:lang w:val="en-US"/>
        </w:rPr>
        <w:t>.</w:t>
      </w:r>
      <w:r w:rsidR="7545F3A3" w:rsidRPr="06D94285">
        <w:rPr>
          <w:rFonts w:ascii="Calibri" w:eastAsia="Calibri" w:hAnsi="Calibri" w:cs="Calibri"/>
          <w:lang w:val="en-US"/>
        </w:rPr>
        <w:t xml:space="preserve">  Further guidance on assessing bioaccumulation is likely to be provided via </w:t>
      </w:r>
      <w:r w:rsidR="00840120">
        <w:rPr>
          <w:rFonts w:ascii="Calibri" w:eastAsia="Calibri" w:hAnsi="Calibri" w:cs="Calibri"/>
          <w:lang w:val="en-US"/>
        </w:rPr>
        <w:t xml:space="preserve">the </w:t>
      </w:r>
      <w:r w:rsidR="7545F3A3" w:rsidRPr="06D94285">
        <w:rPr>
          <w:rFonts w:ascii="Calibri" w:eastAsia="Calibri" w:hAnsi="Calibri" w:cs="Calibri"/>
          <w:lang w:val="en-US"/>
        </w:rPr>
        <w:t xml:space="preserve">NEMP as more information becomes available. </w:t>
      </w:r>
    </w:p>
    <w:p w14:paraId="4EDB102C" w14:textId="365E1F03" w:rsidR="4301F19E" w:rsidRDefault="2199716E" w:rsidP="06D94285">
      <w:r>
        <w:t xml:space="preserve">The </w:t>
      </w:r>
      <w:r w:rsidR="004F5713">
        <w:t>IRC</w:t>
      </w:r>
      <w:r>
        <w:t xml:space="preserve"> recommends</w:t>
      </w:r>
      <w:r w:rsidRPr="44F17EDD">
        <w:rPr>
          <w:b/>
          <w:bCs/>
        </w:rPr>
        <w:t xml:space="preserve"> the guidance be retained. </w:t>
      </w:r>
    </w:p>
    <w:p w14:paraId="3598C94A" w14:textId="6DBF6D36" w:rsidR="320EA3AE" w:rsidRDefault="00C05884" w:rsidP="0081798E">
      <w:pPr>
        <w:pStyle w:val="Heading2"/>
      </w:pPr>
      <w:bookmarkStart w:id="15" w:name="_Toc166677219"/>
      <w:r>
        <w:t xml:space="preserve">3. </w:t>
      </w:r>
      <w:r w:rsidR="320EA3AE" w:rsidRPr="44F17EDD">
        <w:t>Conclusions</w:t>
      </w:r>
      <w:bookmarkEnd w:id="15"/>
    </w:p>
    <w:p w14:paraId="1A600BEF" w14:textId="65E582E3" w:rsidR="548DCCA2" w:rsidRPr="00F617F1" w:rsidRDefault="38A2B0E5" w:rsidP="00F617F1">
      <w:pPr>
        <w:rPr>
          <w:rFonts w:eastAsia="Calibri" w:cs="Calibri"/>
          <w:lang w:val="en-US"/>
        </w:rPr>
      </w:pPr>
      <w:r w:rsidRPr="5430F672">
        <w:rPr>
          <w:rFonts w:eastAsia="Calibri" w:cs="Calibri"/>
          <w:lang w:val="en-US"/>
        </w:rPr>
        <w:t xml:space="preserve">The </w:t>
      </w:r>
      <w:r w:rsidR="004F5713" w:rsidRPr="5430F672">
        <w:rPr>
          <w:rFonts w:eastAsia="Calibri" w:cs="Calibri"/>
          <w:lang w:val="en-US"/>
        </w:rPr>
        <w:t>IRC</w:t>
      </w:r>
      <w:r w:rsidRPr="5430F672">
        <w:rPr>
          <w:rFonts w:eastAsia="Calibri" w:cs="Calibri"/>
          <w:lang w:val="en-US"/>
        </w:rPr>
        <w:t xml:space="preserve"> has carefully considered </w:t>
      </w:r>
      <w:proofErr w:type="gramStart"/>
      <w:r w:rsidR="001B63CA" w:rsidRPr="5430F672">
        <w:rPr>
          <w:rFonts w:eastAsia="Calibri" w:cs="Calibri"/>
          <w:lang w:val="en-US"/>
        </w:rPr>
        <w:t>a number of</w:t>
      </w:r>
      <w:proofErr w:type="gramEnd"/>
      <w:r w:rsidR="001B63CA" w:rsidRPr="5430F672">
        <w:rPr>
          <w:rFonts w:eastAsia="Calibri" w:cs="Calibri"/>
          <w:lang w:val="en-US"/>
        </w:rPr>
        <w:t xml:space="preserve"> key issues</w:t>
      </w:r>
      <w:r w:rsidR="00E02687" w:rsidRPr="5430F672">
        <w:rPr>
          <w:rFonts w:eastAsia="Calibri" w:cs="Calibri"/>
          <w:lang w:val="en-US"/>
        </w:rPr>
        <w:t xml:space="preserve"> </w:t>
      </w:r>
      <w:r w:rsidRPr="5430F672">
        <w:rPr>
          <w:rFonts w:eastAsia="Calibri" w:cs="Calibri"/>
          <w:lang w:val="en-US"/>
        </w:rPr>
        <w:t>raised in the public submission</w:t>
      </w:r>
      <w:r w:rsidR="27C018AF" w:rsidRPr="5430F672">
        <w:rPr>
          <w:rFonts w:eastAsia="Calibri" w:cs="Calibri"/>
          <w:lang w:val="en-US"/>
        </w:rPr>
        <w:t>s</w:t>
      </w:r>
      <w:r w:rsidRPr="5430F672">
        <w:rPr>
          <w:rFonts w:eastAsia="Calibri" w:cs="Calibri"/>
          <w:lang w:val="en-US"/>
        </w:rPr>
        <w:t xml:space="preserve"> for the PFOS </w:t>
      </w:r>
      <w:r w:rsidR="001B63CA" w:rsidRPr="5430F672">
        <w:rPr>
          <w:rFonts w:eastAsia="Calibri" w:cs="Calibri"/>
          <w:lang w:val="en-US"/>
        </w:rPr>
        <w:t xml:space="preserve">f </w:t>
      </w:r>
      <w:r w:rsidR="551F4F31" w:rsidRPr="5430F672">
        <w:rPr>
          <w:rFonts w:eastAsia="Calibri" w:cs="Calibri"/>
          <w:lang w:val="en-US"/>
        </w:rPr>
        <w:t>DGV</w:t>
      </w:r>
      <w:r w:rsidR="001B63CA" w:rsidRPr="5430F672">
        <w:rPr>
          <w:rFonts w:eastAsia="Calibri" w:cs="Calibri"/>
          <w:lang w:val="en-US"/>
        </w:rPr>
        <w:t>s</w:t>
      </w:r>
      <w:r w:rsidR="551F4F31" w:rsidRPr="5430F672">
        <w:rPr>
          <w:rFonts w:eastAsia="Calibri" w:cs="Calibri"/>
          <w:lang w:val="en-US"/>
        </w:rPr>
        <w:t xml:space="preserve"> </w:t>
      </w:r>
      <w:r w:rsidR="329653A4" w:rsidRPr="5430F672">
        <w:rPr>
          <w:rFonts w:eastAsia="Calibri" w:cs="Calibri"/>
          <w:lang w:val="en-US"/>
        </w:rPr>
        <w:t>technical brief. As discussed, i</w:t>
      </w:r>
      <w:r w:rsidRPr="5430F672">
        <w:rPr>
          <w:rFonts w:eastAsia="Calibri" w:cs="Calibri"/>
          <w:lang w:val="en-US"/>
        </w:rPr>
        <w:t xml:space="preserve">nclusion or exclusion of specific data in the PFOS SSD is based on best professional judgement.  The </w:t>
      </w:r>
      <w:r w:rsidR="004F5713" w:rsidRPr="5430F672">
        <w:rPr>
          <w:rFonts w:eastAsia="Calibri" w:cs="Calibri"/>
          <w:lang w:val="en-US"/>
        </w:rPr>
        <w:t>IRC</w:t>
      </w:r>
      <w:r w:rsidRPr="5430F672">
        <w:rPr>
          <w:rFonts w:eastAsia="Calibri" w:cs="Calibri"/>
          <w:lang w:val="en-US"/>
        </w:rPr>
        <w:t xml:space="preserve"> reached consensus using </w:t>
      </w:r>
      <w:r w:rsidR="449AF2CC" w:rsidRPr="5430F672">
        <w:rPr>
          <w:rFonts w:eastAsia="Calibri" w:cs="Calibri"/>
          <w:lang w:val="en-US"/>
        </w:rPr>
        <w:t xml:space="preserve">this approach </w:t>
      </w:r>
      <w:r w:rsidRPr="5430F672">
        <w:rPr>
          <w:rFonts w:eastAsia="Calibri" w:cs="Calibri"/>
          <w:lang w:val="en-US"/>
        </w:rPr>
        <w:t xml:space="preserve">and has </w:t>
      </w:r>
      <w:r w:rsidR="4F78906D" w:rsidRPr="5430F672">
        <w:rPr>
          <w:rFonts w:eastAsia="Calibri" w:cs="Calibri"/>
          <w:lang w:val="en-US"/>
        </w:rPr>
        <w:t xml:space="preserve">made a range of </w:t>
      </w:r>
      <w:r w:rsidRPr="5430F672">
        <w:rPr>
          <w:rFonts w:eastAsia="Calibri" w:cs="Calibri"/>
          <w:lang w:val="en-US"/>
        </w:rPr>
        <w:t>recommend</w:t>
      </w:r>
      <w:r w:rsidR="1260C041" w:rsidRPr="5430F672">
        <w:rPr>
          <w:rFonts w:eastAsia="Calibri" w:cs="Calibri"/>
          <w:lang w:val="en-US"/>
        </w:rPr>
        <w:t xml:space="preserve">ations </w:t>
      </w:r>
      <w:r w:rsidR="762CA98F" w:rsidRPr="5430F672">
        <w:rPr>
          <w:rFonts w:eastAsia="Calibri" w:cs="Calibri"/>
          <w:lang w:val="en-US"/>
        </w:rPr>
        <w:t xml:space="preserve">about the inclusion and exclusion of </w:t>
      </w:r>
      <w:proofErr w:type="gramStart"/>
      <w:r w:rsidR="762CA98F" w:rsidRPr="5430F672">
        <w:rPr>
          <w:rFonts w:eastAsia="Calibri" w:cs="Calibri"/>
          <w:lang w:val="en-US"/>
        </w:rPr>
        <w:t>particular text</w:t>
      </w:r>
      <w:proofErr w:type="gramEnd"/>
      <w:r w:rsidR="762CA98F" w:rsidRPr="5430F672">
        <w:rPr>
          <w:rFonts w:eastAsia="Calibri" w:cs="Calibri"/>
          <w:lang w:val="en-US"/>
        </w:rPr>
        <w:t xml:space="preserve"> </w:t>
      </w:r>
      <w:r w:rsidR="3D940FD3" w:rsidRPr="5430F672">
        <w:rPr>
          <w:rFonts w:eastAsia="Calibri" w:cs="Calibri"/>
          <w:lang w:val="en-US"/>
        </w:rPr>
        <w:t xml:space="preserve">in the technical brief </w:t>
      </w:r>
      <w:r w:rsidR="762CA98F" w:rsidRPr="5430F672">
        <w:rPr>
          <w:rFonts w:eastAsia="Calibri" w:cs="Calibri"/>
          <w:lang w:val="en-US"/>
        </w:rPr>
        <w:t xml:space="preserve">and data in the SSD </w:t>
      </w:r>
      <w:r w:rsidR="1260C041" w:rsidRPr="5430F672">
        <w:rPr>
          <w:rFonts w:eastAsia="Calibri" w:cs="Calibri"/>
          <w:lang w:val="en-US"/>
        </w:rPr>
        <w:t>as above.</w:t>
      </w:r>
      <w:r w:rsidRPr="5430F672">
        <w:rPr>
          <w:rFonts w:eastAsia="Calibri" w:cs="Calibri"/>
          <w:lang w:val="en-US"/>
        </w:rPr>
        <w:t xml:space="preserve">  </w:t>
      </w:r>
      <w:r w:rsidR="1154684D" w:rsidRPr="5430F672">
        <w:rPr>
          <w:rFonts w:eastAsia="Calibri" w:cs="Calibri"/>
          <w:lang w:val="en-US"/>
        </w:rPr>
        <w:t xml:space="preserve"> T</w:t>
      </w:r>
      <w:r w:rsidR="72E11553" w:rsidRPr="5430F672">
        <w:rPr>
          <w:rFonts w:eastAsia="Calibri" w:cs="Calibri"/>
          <w:lang w:val="en-US"/>
        </w:rPr>
        <w:t>h</w:t>
      </w:r>
      <w:r w:rsidR="1154684D" w:rsidRPr="5430F672">
        <w:rPr>
          <w:rFonts w:eastAsia="Calibri" w:cs="Calibri"/>
          <w:lang w:val="en-US"/>
        </w:rPr>
        <w:t xml:space="preserve">e </w:t>
      </w:r>
      <w:r w:rsidR="004F5713" w:rsidRPr="5430F672">
        <w:rPr>
          <w:rFonts w:eastAsia="Calibri" w:cs="Calibri"/>
          <w:lang w:val="en-US"/>
        </w:rPr>
        <w:t>IRC</w:t>
      </w:r>
      <w:r w:rsidR="71022012" w:rsidRPr="5430F672">
        <w:rPr>
          <w:rFonts w:eastAsia="Calibri" w:cs="Calibri"/>
          <w:lang w:val="en-US"/>
        </w:rPr>
        <w:t xml:space="preserve"> recommends that</w:t>
      </w:r>
      <w:r w:rsidR="33977DA9" w:rsidRPr="5430F672">
        <w:rPr>
          <w:rFonts w:eastAsia="Calibri" w:cs="Calibri"/>
          <w:lang w:val="en-US"/>
        </w:rPr>
        <w:t>,</w:t>
      </w:r>
      <w:r w:rsidR="71022012" w:rsidRPr="5430F672">
        <w:rPr>
          <w:rFonts w:eastAsia="Calibri" w:cs="Calibri"/>
          <w:lang w:val="en-US"/>
        </w:rPr>
        <w:t xml:space="preserve"> in the light of the substantive public comments received, the </w:t>
      </w:r>
      <w:r w:rsidR="70624EDE" w:rsidRPr="5430F672">
        <w:rPr>
          <w:rFonts w:eastAsia="Calibri" w:cs="Calibri"/>
          <w:lang w:val="en-US"/>
        </w:rPr>
        <w:t xml:space="preserve">freshwater </w:t>
      </w:r>
      <w:r w:rsidR="001B63CA" w:rsidRPr="5430F672">
        <w:rPr>
          <w:rFonts w:eastAsia="Calibri" w:cs="Calibri"/>
          <w:lang w:val="en-US"/>
        </w:rPr>
        <w:t>PFOS DGVs</w:t>
      </w:r>
      <w:r w:rsidR="71022012" w:rsidRPr="5430F672">
        <w:rPr>
          <w:rFonts w:eastAsia="Calibri" w:cs="Calibri"/>
          <w:lang w:val="en-US"/>
        </w:rPr>
        <w:t xml:space="preserve"> </w:t>
      </w:r>
      <w:r w:rsidR="668183DA" w:rsidRPr="5430F672">
        <w:rPr>
          <w:rFonts w:eastAsia="Calibri" w:cs="Calibri"/>
          <w:lang w:val="en-US"/>
        </w:rPr>
        <w:t xml:space="preserve">technical brief </w:t>
      </w:r>
      <w:r w:rsidR="637567C7" w:rsidRPr="5430F672">
        <w:rPr>
          <w:rFonts w:eastAsia="Calibri" w:cs="Calibri"/>
          <w:lang w:val="en-US"/>
        </w:rPr>
        <w:t>and calculated DGVs from the SSD are</w:t>
      </w:r>
      <w:r w:rsidR="001B63CA" w:rsidRPr="5430F672">
        <w:rPr>
          <w:rFonts w:eastAsia="Calibri" w:cs="Calibri"/>
          <w:lang w:val="en-US"/>
        </w:rPr>
        <w:t xml:space="preserve"> revised in accordance with the recommendations in this report</w:t>
      </w:r>
      <w:r w:rsidR="7BD5620F" w:rsidRPr="5430F672">
        <w:rPr>
          <w:rFonts w:eastAsia="Calibri" w:cs="Calibri"/>
          <w:lang w:val="en-US"/>
        </w:rPr>
        <w:t xml:space="preserve">. </w:t>
      </w:r>
    </w:p>
    <w:p w14:paraId="134DC2C7" w14:textId="725C747C" w:rsidR="44F17EDD" w:rsidRDefault="44F17EDD" w:rsidP="44F17EDD"/>
    <w:p w14:paraId="56B8A2CE" w14:textId="62023C22" w:rsidR="2C370C57" w:rsidRDefault="00C05884" w:rsidP="0081798E">
      <w:pPr>
        <w:pStyle w:val="Heading2"/>
        <w:rPr>
          <w:lang w:val="en-US"/>
        </w:rPr>
      </w:pPr>
      <w:bookmarkStart w:id="16" w:name="_Toc166677220"/>
      <w:r>
        <w:rPr>
          <w:lang w:val="en-US"/>
        </w:rPr>
        <w:t xml:space="preserve">4. </w:t>
      </w:r>
      <w:r w:rsidR="2C370C57" w:rsidRPr="44F17EDD">
        <w:rPr>
          <w:lang w:val="en-US"/>
        </w:rPr>
        <w:t>References</w:t>
      </w:r>
      <w:bookmarkEnd w:id="16"/>
    </w:p>
    <w:p w14:paraId="5D289D8F" w14:textId="5F8E2C56" w:rsidR="57A38017" w:rsidRDefault="756746EF" w:rsidP="4301F19E">
      <w:pPr>
        <w:spacing w:after="168"/>
        <w:jc w:val="both"/>
        <w:rPr>
          <w:rFonts w:eastAsiaTheme="minorEastAsia"/>
        </w:rPr>
      </w:pPr>
      <w:r w:rsidRPr="4301F19E">
        <w:rPr>
          <w:rFonts w:eastAsiaTheme="minorEastAsia"/>
        </w:rPr>
        <w:t>Ankley, GT, Kuehl, DW, Kahl, MD, Jensen, KM, Linnum, A, Leino, RL &amp; Villeneuve, DA 2005. Reproductive and developmental toxicity and bioconcentration of perfluorooctanesulfonate in a partial life-cycle test with the fathead minnow (</w:t>
      </w:r>
      <w:r w:rsidRPr="4301F19E">
        <w:rPr>
          <w:rFonts w:eastAsiaTheme="minorEastAsia"/>
          <w:i/>
          <w:iCs/>
        </w:rPr>
        <w:t>Pimephales promelas</w:t>
      </w:r>
      <w:r w:rsidRPr="4301F19E">
        <w:rPr>
          <w:rFonts w:eastAsiaTheme="minorEastAsia"/>
        </w:rPr>
        <w:t xml:space="preserve">). </w:t>
      </w:r>
      <w:r w:rsidRPr="4301F19E">
        <w:rPr>
          <w:rFonts w:eastAsiaTheme="minorEastAsia"/>
          <w:i/>
          <w:iCs/>
        </w:rPr>
        <w:t>Environmental Toxicology and Chemistry</w:t>
      </w:r>
      <w:r w:rsidRPr="4301F19E">
        <w:rPr>
          <w:rFonts w:eastAsiaTheme="minorEastAsia"/>
        </w:rPr>
        <w:t>, 24, 2316–2324.</w:t>
      </w:r>
      <w:r>
        <w:t xml:space="preserve"> </w:t>
      </w:r>
    </w:p>
    <w:p w14:paraId="72296EAD" w14:textId="1E3853F3" w:rsidR="57A38017" w:rsidRDefault="57A38017" w:rsidP="5BF7B62F">
      <w:r>
        <w:t>ANZG 2023</w:t>
      </w:r>
      <w:r w:rsidR="12D3F590">
        <w:t>.</w:t>
      </w:r>
      <w:r>
        <w:t xml:space="preserve"> Toxicant default guideline values for a</w:t>
      </w:r>
      <w:r w:rsidR="7B1818C8">
        <w:t xml:space="preserve">quatic ecosystem protection: Perfluorooctane sulfonate (PFOS) in </w:t>
      </w:r>
      <w:r w:rsidR="565B2830">
        <w:t>freshwater. Australian and New Zealand</w:t>
      </w:r>
      <w:r w:rsidR="56D39629">
        <w:t xml:space="preserve"> Guidelines for Fresh and Marine Water Quality</w:t>
      </w:r>
      <w:r w:rsidR="388E67B9">
        <w:t>.</w:t>
      </w:r>
      <w:r w:rsidR="391C5AF1">
        <w:t xml:space="preserve"> CC By 4.0. Australian and New Zealand Governments and Austr</w:t>
      </w:r>
      <w:r w:rsidR="3D204FCF">
        <w:t xml:space="preserve">alian state and territory </w:t>
      </w:r>
      <w:r w:rsidR="3D204FCF">
        <w:lastRenderedPageBreak/>
        <w:t>governments, Canberra, ACT, Australia.</w:t>
      </w:r>
      <w:r w:rsidR="388E67B9">
        <w:t xml:space="preserve"> </w:t>
      </w:r>
      <w:hyperlink r:id="rId23">
        <w:r w:rsidR="388E67B9" w:rsidRPr="4301F19E">
          <w:rPr>
            <w:rStyle w:val="Hyperlink"/>
          </w:rPr>
          <w:t>https://www.waterquality.gov</w:t>
        </w:r>
        <w:r w:rsidR="3F58029E" w:rsidRPr="4301F19E">
          <w:rPr>
            <w:rStyle w:val="Hyperlink"/>
          </w:rPr>
          <w:t>.au/anz-guidelines/guideline-values/default/water-quality-toxicants/toxicants</w:t>
        </w:r>
      </w:hyperlink>
      <w:r w:rsidR="53C6C58F">
        <w:t xml:space="preserve"> </w:t>
      </w:r>
    </w:p>
    <w:p w14:paraId="4EA03209" w14:textId="159D1964" w:rsidR="09EBF190" w:rsidRDefault="0FFAED67" w:rsidP="4301F19E">
      <w:pPr>
        <w:spacing w:after="160"/>
        <w:jc w:val="both"/>
        <w:rPr>
          <w:rFonts w:eastAsiaTheme="minorEastAsia"/>
        </w:rPr>
      </w:pPr>
      <w:r w:rsidRPr="5FF66AB4">
        <w:rPr>
          <w:rFonts w:eastAsiaTheme="minorEastAsia"/>
        </w:rPr>
        <w:t xml:space="preserve">ANZG 2018. Australian and New Zealand Guidelines for Fresh and Marine Water Quality. Australian and New Zealand Governments and Australian state and territory governments, Canberra, ACT, Australia. </w:t>
      </w:r>
      <w:hyperlink r:id="rId24">
        <w:r w:rsidRPr="5FF66AB4">
          <w:rPr>
            <w:rStyle w:val="Hyperlink"/>
            <w:rFonts w:eastAsiaTheme="minorEastAsia"/>
          </w:rPr>
          <w:t>https://www.waterquality.gov.au/anz-guidelines</w:t>
        </w:r>
      </w:hyperlink>
      <w:r w:rsidRPr="5FF66AB4">
        <w:rPr>
          <w:rFonts w:eastAsiaTheme="minorEastAsia"/>
        </w:rPr>
        <w:t xml:space="preserve">. </w:t>
      </w:r>
    </w:p>
    <w:p w14:paraId="2A7EFDD9" w14:textId="376DC2D6" w:rsidR="79AC060C" w:rsidRDefault="7842FF22" w:rsidP="45FFD1F4">
      <w:pPr>
        <w:spacing w:after="168"/>
        <w:jc w:val="both"/>
        <w:rPr>
          <w:rFonts w:eastAsiaTheme="minorEastAsia"/>
        </w:rPr>
      </w:pPr>
      <w:r w:rsidRPr="45FFD1F4">
        <w:rPr>
          <w:rFonts w:eastAsiaTheme="minorEastAsia"/>
          <w:color w:val="000000" w:themeColor="text1"/>
        </w:rPr>
        <w:t>Baddiley, BL, Munns, T, Braun, C &amp; Vardy, S 2020. Queensland Ambient PFAS Monitoring Program 2019-2020. Queensland Department of Environment and Science, Brisbane.</w:t>
      </w:r>
    </w:p>
    <w:p w14:paraId="00A01A66" w14:textId="39EA922F" w:rsidR="09EBF190" w:rsidRDefault="7B8399CA" w:rsidP="45FFD1F4">
      <w:pPr>
        <w:spacing w:after="168"/>
        <w:jc w:val="both"/>
        <w:rPr>
          <w:rFonts w:eastAsiaTheme="minorEastAsia"/>
        </w:rPr>
      </w:pPr>
      <w:r w:rsidRPr="45FFD1F4">
        <w:rPr>
          <w:rFonts w:eastAsiaTheme="minorEastAsia"/>
        </w:rPr>
        <w:t xml:space="preserve">Bots, J, De Bruyn, L, Snijkers, T, Van den Branden, B &amp; Van Gossum, H 2010. Exposure to perfluorooctane sulfonic acid (PFOS) adversely affects the </w:t>
      </w:r>
      <w:proofErr w:type="gramStart"/>
      <w:r w:rsidRPr="45FFD1F4">
        <w:rPr>
          <w:rFonts w:eastAsiaTheme="minorEastAsia"/>
        </w:rPr>
        <w:t>life-cycle</w:t>
      </w:r>
      <w:proofErr w:type="gramEnd"/>
      <w:r w:rsidRPr="45FFD1F4">
        <w:rPr>
          <w:rFonts w:eastAsiaTheme="minorEastAsia"/>
        </w:rPr>
        <w:t xml:space="preserve"> of the damselfly </w:t>
      </w:r>
      <w:r w:rsidRPr="45FFD1F4">
        <w:rPr>
          <w:rFonts w:eastAsiaTheme="minorEastAsia"/>
          <w:i/>
          <w:iCs/>
        </w:rPr>
        <w:t>Enallagma cyathigerum</w:t>
      </w:r>
      <w:r w:rsidRPr="45FFD1F4">
        <w:rPr>
          <w:rFonts w:eastAsiaTheme="minorEastAsia"/>
        </w:rPr>
        <w:t xml:space="preserve">. </w:t>
      </w:r>
      <w:r w:rsidRPr="45FFD1F4">
        <w:rPr>
          <w:rFonts w:eastAsiaTheme="minorEastAsia"/>
          <w:i/>
          <w:iCs/>
        </w:rPr>
        <w:t>Environmental Pollution</w:t>
      </w:r>
      <w:r w:rsidRPr="45FFD1F4">
        <w:rPr>
          <w:rFonts w:eastAsiaTheme="minorEastAsia"/>
        </w:rPr>
        <w:t>, 158, 901–905.</w:t>
      </w:r>
    </w:p>
    <w:p w14:paraId="140AF1E8" w14:textId="4713BABF" w:rsidR="09EBF190" w:rsidRDefault="5C88106E" w:rsidP="45FFD1F4">
      <w:pPr>
        <w:spacing w:after="168"/>
        <w:jc w:val="both"/>
        <w:rPr>
          <w:rFonts w:eastAsiaTheme="minorEastAsia"/>
        </w:rPr>
      </w:pPr>
      <w:r w:rsidRPr="45FFD1F4">
        <w:rPr>
          <w:rFonts w:eastAsiaTheme="minorEastAsia"/>
        </w:rPr>
        <w:t xml:space="preserve">De Silva AO, Armitage JM, Bruton TA, Dassuncao C, Heiger-Bernays W, Hu XC, Kärrman A, Kelly B, Ng C, Robuck A, Sun M, Webster TF, Sunderland EM, 2021. PFAS Exposure Pathways for Humans and Wildlife: A Synthesis of Current Knowledge and Key Gaps in Understanding. </w:t>
      </w:r>
      <w:r w:rsidRPr="45FFD1F4">
        <w:rPr>
          <w:rFonts w:eastAsiaTheme="minorEastAsia"/>
          <w:i/>
          <w:iCs/>
        </w:rPr>
        <w:t xml:space="preserve">Environmental Toxicology and Chemistry, </w:t>
      </w:r>
      <w:r w:rsidRPr="45FFD1F4">
        <w:rPr>
          <w:rFonts w:eastAsiaTheme="minorEastAsia"/>
        </w:rPr>
        <w:t xml:space="preserve">40(3):631-657. </w:t>
      </w:r>
    </w:p>
    <w:p w14:paraId="1B351025" w14:textId="0CA54F29" w:rsidR="09EBF190" w:rsidRDefault="0FFAED67" w:rsidP="5FF66AB4">
      <w:pPr>
        <w:spacing w:after="168"/>
        <w:jc w:val="both"/>
        <w:rPr>
          <w:rFonts w:eastAsiaTheme="minorEastAsia"/>
        </w:rPr>
      </w:pPr>
      <w:r w:rsidRPr="5FF66AB4">
        <w:rPr>
          <w:rFonts w:eastAsiaTheme="minorEastAsia"/>
        </w:rPr>
        <w:t xml:space="preserve">Du, Y, Shi, X, Liu, C, Yu, K &amp; Zhou, B 2009. Chronic effects of water-bore PFOS exposure on growth, survival and hepatotoxicity in zebrafish: A partial life-cycle test. </w:t>
      </w:r>
      <w:r w:rsidRPr="5FF66AB4">
        <w:rPr>
          <w:rFonts w:eastAsiaTheme="minorEastAsia"/>
          <w:i/>
          <w:iCs/>
        </w:rPr>
        <w:t>Chemosphere</w:t>
      </w:r>
      <w:r w:rsidRPr="5FF66AB4">
        <w:rPr>
          <w:rFonts w:eastAsiaTheme="minorEastAsia"/>
        </w:rPr>
        <w:t>, 74, 723–729.</w:t>
      </w:r>
    </w:p>
    <w:p w14:paraId="0E5E9CE0" w14:textId="4830E5FA" w:rsidR="09EBF190" w:rsidRDefault="09EBF190" w:rsidP="4301F19E">
      <w:pPr>
        <w:spacing w:after="168"/>
        <w:jc w:val="both"/>
        <w:rPr>
          <w:rFonts w:eastAsiaTheme="minorEastAsia"/>
        </w:rPr>
      </w:pPr>
      <w:r w:rsidRPr="4301F19E">
        <w:rPr>
          <w:rFonts w:eastAsiaTheme="minorEastAsia"/>
        </w:rPr>
        <w:t>ECCC 2018. Canadian Environmental Protection Act, 1999 Federal Environmental Quality Guidelines Perfluorooctane Sulfonate. Environment and Climate Change Canada, Government of Canada.</w:t>
      </w:r>
    </w:p>
    <w:p w14:paraId="1EAE88DC" w14:textId="2065C641" w:rsidR="09EBF190" w:rsidRDefault="09EBF190" w:rsidP="4301F19E">
      <w:pPr>
        <w:spacing w:after="168"/>
        <w:jc w:val="both"/>
        <w:rPr>
          <w:rFonts w:eastAsiaTheme="minorEastAsia"/>
          <w:color w:val="000000" w:themeColor="text1"/>
        </w:rPr>
      </w:pPr>
      <w:r w:rsidRPr="4301F19E">
        <w:rPr>
          <w:rFonts w:eastAsiaTheme="minorEastAsia"/>
          <w:color w:val="000000" w:themeColor="text1"/>
        </w:rPr>
        <w:t>Flynn, RW, Chislock, MF, Gannon, ME, Bauer, SJ, Tornabene, BJ, Hoverman, JT &amp; Sepulveda, M 2019. Acute and chronic effects of perfluoroalkyl substance mixtures on larval American Bullfrogs (</w:t>
      </w:r>
      <w:r w:rsidRPr="4301F19E">
        <w:rPr>
          <w:rFonts w:eastAsiaTheme="minorEastAsia"/>
          <w:i/>
          <w:iCs/>
        </w:rPr>
        <w:t>Rana</w:t>
      </w:r>
      <w:r w:rsidRPr="4301F19E">
        <w:rPr>
          <w:rFonts w:eastAsiaTheme="minorEastAsia"/>
          <w:i/>
          <w:iCs/>
          <w:color w:val="000000" w:themeColor="text1"/>
        </w:rPr>
        <w:t xml:space="preserve"> </w:t>
      </w:r>
      <w:r w:rsidRPr="4301F19E">
        <w:rPr>
          <w:rFonts w:eastAsiaTheme="minorEastAsia"/>
          <w:i/>
          <w:iCs/>
        </w:rPr>
        <w:t>catesbeiana</w:t>
      </w:r>
      <w:r w:rsidRPr="4301F19E">
        <w:rPr>
          <w:rFonts w:eastAsiaTheme="minorEastAsia"/>
          <w:color w:val="000000" w:themeColor="text1"/>
        </w:rPr>
        <w:t xml:space="preserve">). </w:t>
      </w:r>
      <w:r w:rsidRPr="4301F19E">
        <w:rPr>
          <w:rFonts w:eastAsiaTheme="minorEastAsia"/>
          <w:i/>
          <w:iCs/>
        </w:rPr>
        <w:t>Chemosphere</w:t>
      </w:r>
      <w:r w:rsidRPr="4301F19E">
        <w:rPr>
          <w:rFonts w:eastAsiaTheme="minorEastAsia"/>
          <w:color w:val="000000" w:themeColor="text1"/>
        </w:rPr>
        <w:t>, 236, 124350.</w:t>
      </w:r>
    </w:p>
    <w:p w14:paraId="645F48C1" w14:textId="3DC778D6" w:rsidR="793CCA46" w:rsidRDefault="793CCA46">
      <w:r>
        <w:t xml:space="preserve">Gust, K A, Mylroie, E, Kimble, AN, Wilbanks, M S, Catherine, J, Steward, S C, Chapman, KA, Jensen, K M, Kennedy, A.J, Waisner, SA, Pandelides, Z, Vinas, N, Erickson, R </w:t>
      </w:r>
      <w:r w:rsidR="00F1646F">
        <w:t>J, Ankley</w:t>
      </w:r>
      <w:r>
        <w:t>, G T, Conder, J, and Moore, D M 2023. Survival, growth, and reproduction responses in a three-generation exposure of the zebrafish (</w:t>
      </w:r>
      <w:r w:rsidRPr="4301F19E">
        <w:rPr>
          <w:i/>
          <w:iCs/>
        </w:rPr>
        <w:t>Danio rerio</w:t>
      </w:r>
      <w:r>
        <w:t xml:space="preserve">) to perfluorooctane sulfonate (PFOS). </w:t>
      </w:r>
      <w:r w:rsidRPr="4301F19E">
        <w:rPr>
          <w:i/>
          <w:iCs/>
        </w:rPr>
        <w:t>Environmental Toxicology and Chemistry</w:t>
      </w:r>
      <w:r>
        <w:t>. Advance Online publication. </w:t>
      </w:r>
      <w:hyperlink r:id="rId25">
        <w:r w:rsidRPr="4301F19E">
          <w:rPr>
            <w:rStyle w:val="Hyperlink"/>
            <w:b/>
            <w:bCs/>
          </w:rPr>
          <w:t>https://doi.org/10.1002/etc.5770</w:t>
        </w:r>
      </w:hyperlink>
      <w:r>
        <w:t>.</w:t>
      </w:r>
    </w:p>
    <w:p w14:paraId="27B1B813" w14:textId="3337BF91" w:rsidR="09EBF190" w:rsidRDefault="09EBF190" w:rsidP="4301F19E">
      <w:pPr>
        <w:spacing w:after="168"/>
        <w:jc w:val="both"/>
        <w:rPr>
          <w:rFonts w:eastAsiaTheme="minorEastAsia"/>
        </w:rPr>
      </w:pPr>
      <w:r w:rsidRPr="4301F19E">
        <w:rPr>
          <w:rFonts w:eastAsiaTheme="minorEastAsia"/>
        </w:rPr>
        <w:t>Han, J &amp; Fang, Z 2010. Estrogenic effects, reproductive impairment and developmental toxicity in ovoviparous swordtail fish (</w:t>
      </w:r>
      <w:r w:rsidRPr="4301F19E">
        <w:rPr>
          <w:rFonts w:eastAsiaTheme="minorEastAsia"/>
          <w:i/>
          <w:iCs/>
        </w:rPr>
        <w:t>Xiphophorus helleri</w:t>
      </w:r>
      <w:r w:rsidRPr="4301F19E">
        <w:rPr>
          <w:rFonts w:eastAsiaTheme="minorEastAsia"/>
        </w:rPr>
        <w:t xml:space="preserve">) exposed to perfluorooctane sulfonate (PFOS). </w:t>
      </w:r>
      <w:r w:rsidRPr="4301F19E">
        <w:rPr>
          <w:rFonts w:eastAsiaTheme="minorEastAsia"/>
          <w:i/>
          <w:iCs/>
        </w:rPr>
        <w:t>Aquatic Toxicology</w:t>
      </w:r>
      <w:r w:rsidRPr="4301F19E">
        <w:rPr>
          <w:rFonts w:eastAsiaTheme="minorEastAsia"/>
        </w:rPr>
        <w:t>, 99, 281–290.</w:t>
      </w:r>
    </w:p>
    <w:p w14:paraId="583E761F" w14:textId="4A760B10" w:rsidR="09EBF190" w:rsidRDefault="09EBF190" w:rsidP="4301F19E">
      <w:pPr>
        <w:spacing w:after="168"/>
        <w:jc w:val="both"/>
        <w:rPr>
          <w:rFonts w:eastAsiaTheme="minorEastAsia"/>
        </w:rPr>
      </w:pPr>
      <w:r w:rsidRPr="4301F19E">
        <w:rPr>
          <w:rFonts w:eastAsiaTheme="minorEastAsia"/>
        </w:rPr>
        <w:t xml:space="preserve">Hanson, ML, Sibley, PK, Brain, RA, Mabury, SA &amp; Solomon, KR 2005. Microcosm evaluation of the toxicity and risk to aquatic macrophytes from perfluorooctane sulfonic acid. </w:t>
      </w:r>
      <w:r w:rsidRPr="4301F19E">
        <w:rPr>
          <w:rFonts w:eastAsiaTheme="minorEastAsia"/>
          <w:i/>
          <w:iCs/>
        </w:rPr>
        <w:t>Archives of Environmental Contamination and Toxicology</w:t>
      </w:r>
      <w:r w:rsidRPr="4301F19E">
        <w:rPr>
          <w:rFonts w:eastAsiaTheme="minorEastAsia"/>
        </w:rPr>
        <w:t>, 48, 329–337.</w:t>
      </w:r>
    </w:p>
    <w:p w14:paraId="7B2801E2" w14:textId="5CF79AD2" w:rsidR="09EBF190" w:rsidRDefault="09EBF190" w:rsidP="4301F19E">
      <w:pPr>
        <w:spacing w:after="168"/>
        <w:jc w:val="both"/>
        <w:rPr>
          <w:rFonts w:eastAsiaTheme="minorEastAsia"/>
        </w:rPr>
      </w:pPr>
      <w:r w:rsidRPr="4301F19E">
        <w:rPr>
          <w:rFonts w:eastAsiaTheme="minorEastAsia"/>
        </w:rPr>
        <w:t xml:space="preserve">Hazelton, PD, Cope, WG, Pandolfo, TJ, Mosher, S, Strynar, MJ, Barnhart, C &amp; Bringolf, RB 2012. Partial </w:t>
      </w:r>
      <w:proofErr w:type="gramStart"/>
      <w:r w:rsidRPr="4301F19E">
        <w:rPr>
          <w:rFonts w:eastAsiaTheme="minorEastAsia"/>
        </w:rPr>
        <w:t>life-cycle</w:t>
      </w:r>
      <w:proofErr w:type="gramEnd"/>
      <w:r w:rsidRPr="4301F19E">
        <w:rPr>
          <w:rFonts w:eastAsiaTheme="minorEastAsia"/>
        </w:rPr>
        <w:t xml:space="preserve"> and acute toxicity of perfluoroalkyl acids to freshwater mussels. </w:t>
      </w:r>
      <w:r w:rsidRPr="4301F19E">
        <w:rPr>
          <w:rFonts w:eastAsiaTheme="minorEastAsia"/>
          <w:i/>
          <w:iCs/>
        </w:rPr>
        <w:t>Environmental Toxicology and Chemistry</w:t>
      </w:r>
      <w:r w:rsidRPr="4301F19E">
        <w:rPr>
          <w:rFonts w:eastAsiaTheme="minorEastAsia"/>
        </w:rPr>
        <w:t>, 31, 1611–1620.</w:t>
      </w:r>
    </w:p>
    <w:p w14:paraId="15B18D4D" w14:textId="6BF3AEE5" w:rsidR="09EBF190" w:rsidRDefault="09EBF190" w:rsidP="4301F19E">
      <w:pPr>
        <w:spacing w:after="168"/>
        <w:jc w:val="both"/>
        <w:rPr>
          <w:rFonts w:eastAsiaTheme="minorEastAsia"/>
        </w:rPr>
      </w:pPr>
      <w:r w:rsidRPr="4301F19E">
        <w:rPr>
          <w:rFonts w:eastAsiaTheme="minorEastAsia"/>
        </w:rPr>
        <w:t xml:space="preserve">Hoover, GM, Chislock, MF, Tornabene, BJ, Guffey, SC, Choi, YJ, De Perre, C, Hoverman, JT, Lee, LS &amp; Sepulveda, MS 2017. Uptake and depuration of four per/polyfluoroalkyl substances (PFASs) in </w:t>
      </w:r>
      <w:r w:rsidRPr="4301F19E">
        <w:rPr>
          <w:rFonts w:eastAsiaTheme="minorEastAsia"/>
        </w:rPr>
        <w:lastRenderedPageBreak/>
        <w:t xml:space="preserve">northern leopard frog </w:t>
      </w:r>
      <w:r w:rsidRPr="4301F19E">
        <w:rPr>
          <w:rFonts w:eastAsiaTheme="minorEastAsia"/>
          <w:i/>
          <w:iCs/>
        </w:rPr>
        <w:t>Rana pipiens</w:t>
      </w:r>
      <w:r w:rsidRPr="4301F19E">
        <w:rPr>
          <w:rFonts w:eastAsiaTheme="minorEastAsia"/>
        </w:rPr>
        <w:t xml:space="preserve"> tadpoles. </w:t>
      </w:r>
      <w:r w:rsidRPr="4301F19E">
        <w:rPr>
          <w:rFonts w:eastAsiaTheme="minorEastAsia"/>
          <w:i/>
          <w:iCs/>
        </w:rPr>
        <w:t>Environmental Science and Technology Letters</w:t>
      </w:r>
      <w:r w:rsidRPr="4301F19E">
        <w:rPr>
          <w:rFonts w:eastAsiaTheme="minorEastAsia"/>
        </w:rPr>
        <w:t>, 4, 399–403.</w:t>
      </w:r>
    </w:p>
    <w:p w14:paraId="3E28EE48" w14:textId="7B7EEA67" w:rsidR="09EBF190" w:rsidRDefault="0FFAED67" w:rsidP="4301F19E">
      <w:pPr>
        <w:spacing w:after="168"/>
        <w:jc w:val="both"/>
        <w:rPr>
          <w:rFonts w:eastAsiaTheme="minorEastAsia"/>
        </w:rPr>
      </w:pPr>
      <w:r w:rsidRPr="5FF66AB4">
        <w:rPr>
          <w:rFonts w:eastAsiaTheme="minorEastAsia"/>
        </w:rPr>
        <w:t>Ji, K, Younghee, K, Oh, S, Ahn, B, Jo, H &amp; Choi, K 2008. Toxicity of perfluorooctane sulfonic acid and perfluorooctanoic acid on freshwater macroinvertebrates (</w:t>
      </w:r>
      <w:r w:rsidRPr="5FF66AB4">
        <w:rPr>
          <w:rFonts w:eastAsiaTheme="minorEastAsia"/>
          <w:i/>
          <w:iCs/>
        </w:rPr>
        <w:t>Daphnia magna</w:t>
      </w:r>
      <w:r w:rsidRPr="5FF66AB4">
        <w:rPr>
          <w:rFonts w:eastAsiaTheme="minorEastAsia"/>
        </w:rPr>
        <w:t xml:space="preserve"> and </w:t>
      </w:r>
      <w:r w:rsidRPr="5FF66AB4">
        <w:rPr>
          <w:rFonts w:eastAsiaTheme="minorEastAsia"/>
          <w:i/>
          <w:iCs/>
        </w:rPr>
        <w:t>Moina macrocopa</w:t>
      </w:r>
      <w:r w:rsidRPr="5FF66AB4">
        <w:rPr>
          <w:rFonts w:eastAsiaTheme="minorEastAsia"/>
        </w:rPr>
        <w:t>) and fish (</w:t>
      </w:r>
      <w:r w:rsidRPr="5FF66AB4">
        <w:rPr>
          <w:rFonts w:eastAsiaTheme="minorEastAsia"/>
          <w:i/>
          <w:iCs/>
        </w:rPr>
        <w:t>Oryzias latipes</w:t>
      </w:r>
      <w:r w:rsidRPr="5FF66AB4">
        <w:rPr>
          <w:rFonts w:eastAsiaTheme="minorEastAsia"/>
        </w:rPr>
        <w:t xml:space="preserve">). </w:t>
      </w:r>
      <w:r w:rsidRPr="5FF66AB4">
        <w:rPr>
          <w:rFonts w:eastAsiaTheme="minorEastAsia"/>
          <w:i/>
          <w:iCs/>
        </w:rPr>
        <w:t>Environmental Toxicology and Chemistry</w:t>
      </w:r>
      <w:r w:rsidRPr="5FF66AB4">
        <w:rPr>
          <w:rFonts w:eastAsiaTheme="minorEastAsia"/>
        </w:rPr>
        <w:t>, 27, 2159–2168.</w:t>
      </w:r>
    </w:p>
    <w:p w14:paraId="4AC8E192" w14:textId="4A1FB571" w:rsidR="09EBF190" w:rsidRDefault="00F43FED" w:rsidP="5FF66AB4">
      <w:pPr>
        <w:spacing w:after="168"/>
        <w:jc w:val="both"/>
        <w:rPr>
          <w:b/>
          <w:bCs/>
        </w:rPr>
      </w:pPr>
      <w:r w:rsidRPr="2C4E3B28">
        <w:rPr>
          <w:rFonts w:eastAsiaTheme="minorEastAsia"/>
        </w:rPr>
        <w:t>Kolanczyk, RC</w:t>
      </w:r>
      <w:r w:rsidR="6E1449CC" w:rsidRPr="2C4E3B28">
        <w:rPr>
          <w:rFonts w:eastAsiaTheme="minorEastAsia"/>
        </w:rPr>
        <w:t>, Saley</w:t>
      </w:r>
      <w:r w:rsidR="7DC0FDFE" w:rsidRPr="2C4E3B28">
        <w:rPr>
          <w:rFonts w:eastAsiaTheme="minorEastAsia"/>
        </w:rPr>
        <w:t>,</w:t>
      </w:r>
      <w:r w:rsidR="6E1449CC" w:rsidRPr="2C4E3B28">
        <w:rPr>
          <w:rFonts w:eastAsiaTheme="minorEastAsia"/>
        </w:rPr>
        <w:t xml:space="preserve"> MR, Serrano</w:t>
      </w:r>
      <w:r w:rsidR="4C67DFBF" w:rsidRPr="2C4E3B28">
        <w:rPr>
          <w:rFonts w:eastAsiaTheme="minorEastAsia"/>
        </w:rPr>
        <w:t>,</w:t>
      </w:r>
      <w:r w:rsidR="6E1449CC" w:rsidRPr="2C4E3B28">
        <w:rPr>
          <w:rFonts w:eastAsiaTheme="minorEastAsia"/>
        </w:rPr>
        <w:t xml:space="preserve"> JA, Daley</w:t>
      </w:r>
      <w:r w:rsidR="794118E3" w:rsidRPr="2C4E3B28">
        <w:rPr>
          <w:rFonts w:eastAsiaTheme="minorEastAsia"/>
        </w:rPr>
        <w:t>,</w:t>
      </w:r>
      <w:r w:rsidR="6E1449CC" w:rsidRPr="2C4E3B28">
        <w:rPr>
          <w:rFonts w:eastAsiaTheme="minorEastAsia"/>
        </w:rPr>
        <w:t xml:space="preserve"> SM, Tapper</w:t>
      </w:r>
      <w:r w:rsidR="43743F72" w:rsidRPr="2C4E3B28">
        <w:rPr>
          <w:rFonts w:eastAsiaTheme="minorEastAsia"/>
        </w:rPr>
        <w:t>,</w:t>
      </w:r>
      <w:r w:rsidR="6E1449CC" w:rsidRPr="2C4E3B28">
        <w:rPr>
          <w:rFonts w:eastAsiaTheme="minorEastAsia"/>
        </w:rPr>
        <w:t xml:space="preserve"> MA, 2023. PFAS Biotransformation Pathways: A Species Comparison Study. </w:t>
      </w:r>
      <w:r w:rsidR="6E1449CC" w:rsidRPr="2C4E3B28">
        <w:rPr>
          <w:rFonts w:eastAsiaTheme="minorEastAsia"/>
          <w:i/>
          <w:iCs/>
        </w:rPr>
        <w:t>Toxics</w:t>
      </w:r>
      <w:r w:rsidR="6E1449CC" w:rsidRPr="2C4E3B28">
        <w:rPr>
          <w:rFonts w:eastAsiaTheme="minorEastAsia"/>
        </w:rPr>
        <w:t xml:space="preserve">. 11(1):74. </w:t>
      </w:r>
    </w:p>
    <w:p w14:paraId="14464E19" w14:textId="30DB2E7C" w:rsidR="09EBF190" w:rsidRDefault="0FFAED67" w:rsidP="4301F19E">
      <w:pPr>
        <w:spacing w:after="168"/>
        <w:jc w:val="both"/>
        <w:rPr>
          <w:rStyle w:val="Hyperlink"/>
          <w:b/>
          <w:bCs/>
        </w:rPr>
      </w:pPr>
      <w:r w:rsidRPr="2C4E3B28">
        <w:rPr>
          <w:rFonts w:eastAsiaTheme="minorEastAsia"/>
        </w:rPr>
        <w:t>Keiter, S, Baumann, L, Färber, H, Holbech, H, Skutlarek, D, Engwall, M</w:t>
      </w:r>
      <w:r w:rsidR="2E63479F" w:rsidRPr="2C4E3B28">
        <w:rPr>
          <w:rFonts w:eastAsiaTheme="minorEastAsia"/>
        </w:rPr>
        <w:t>,</w:t>
      </w:r>
      <w:r w:rsidRPr="2C4E3B28">
        <w:rPr>
          <w:rFonts w:eastAsiaTheme="minorEastAsia"/>
        </w:rPr>
        <w:t xml:space="preserve"> Braunbeck, T 2012. Long-term effects of a binary mixture of perfluorooctane sulfonate (PFOS) and bisphenol A (BPA) in zebrafish (</w:t>
      </w:r>
      <w:r w:rsidRPr="2C4E3B28">
        <w:rPr>
          <w:rFonts w:eastAsiaTheme="minorEastAsia"/>
          <w:i/>
          <w:iCs/>
        </w:rPr>
        <w:t>Danio rerio</w:t>
      </w:r>
      <w:r w:rsidRPr="2C4E3B28">
        <w:rPr>
          <w:rFonts w:eastAsiaTheme="minorEastAsia"/>
        </w:rPr>
        <w:t xml:space="preserve">). </w:t>
      </w:r>
      <w:r w:rsidRPr="2C4E3B28">
        <w:rPr>
          <w:rFonts w:eastAsiaTheme="minorEastAsia"/>
          <w:i/>
          <w:iCs/>
        </w:rPr>
        <w:t>Aquatic Toxicology</w:t>
      </w:r>
      <w:r w:rsidRPr="2C4E3B28">
        <w:rPr>
          <w:rFonts w:eastAsiaTheme="minorEastAsia"/>
        </w:rPr>
        <w:t>, 118–119, 116–129.</w:t>
      </w:r>
      <w:r w:rsidR="570ADBA7" w:rsidRPr="2C4E3B28">
        <w:rPr>
          <w:rFonts w:eastAsiaTheme="minorEastAsia"/>
        </w:rPr>
        <w:t xml:space="preserve"> </w:t>
      </w:r>
      <w:hyperlink r:id="rId26">
        <w:r w:rsidR="570ADBA7" w:rsidRPr="2C4E3B28">
          <w:rPr>
            <w:rStyle w:val="Hyperlink"/>
            <w:b/>
            <w:bCs/>
          </w:rPr>
          <w:t>https://doi.org/10.1016/j.aquatox.2012.04.003</w:t>
        </w:r>
      </w:hyperlink>
    </w:p>
    <w:p w14:paraId="247346F5" w14:textId="715713F6" w:rsidR="00F731FE" w:rsidRPr="00907F2C" w:rsidRDefault="00F731FE" w:rsidP="4301F19E">
      <w:pPr>
        <w:spacing w:after="168"/>
        <w:jc w:val="both"/>
      </w:pPr>
      <w:r w:rsidRPr="00907F2C">
        <w:rPr>
          <w:rStyle w:val="Hyperlink"/>
        </w:rPr>
        <w:t xml:space="preserve">Krupa </w:t>
      </w:r>
      <w:r>
        <w:rPr>
          <w:rStyle w:val="Hyperlink"/>
        </w:rPr>
        <w:t xml:space="preserve">PM, Lotufo GR, Mylroie EJ, May LK, Gust KA, Kimbel AN, Jung MG, Boyda JA, Garcia-Reyero N, Moore DW 2022 Chronic aquatic toxicity of perfluorooctane sulfonic acid (PFOS) to </w:t>
      </w:r>
      <w:r w:rsidRPr="00907F2C">
        <w:rPr>
          <w:rStyle w:val="Hyperlink"/>
          <w:i/>
          <w:iCs/>
        </w:rPr>
        <w:t xml:space="preserve">Ceriodaphnia dubia, Chironomus dilutes, Danio rerio </w:t>
      </w:r>
      <w:r w:rsidRPr="00F731FE">
        <w:rPr>
          <w:rStyle w:val="Hyperlink"/>
        </w:rPr>
        <w:t>and</w:t>
      </w:r>
      <w:r w:rsidRPr="00907F2C">
        <w:rPr>
          <w:rStyle w:val="Hyperlink"/>
          <w:i/>
          <w:iCs/>
        </w:rPr>
        <w:t xml:space="preserve"> Hyalalla azteca.</w:t>
      </w:r>
      <w:r>
        <w:rPr>
          <w:rStyle w:val="Hyperlink"/>
        </w:rPr>
        <w:t xml:space="preserve"> Ecotoxicology and Environmental Safety 241, 113838.</w:t>
      </w:r>
    </w:p>
    <w:p w14:paraId="6152A037" w14:textId="117844C7" w:rsidR="09EBF190" w:rsidRDefault="04B57D8A" w:rsidP="2C4E3B28">
      <w:pPr>
        <w:spacing w:after="168"/>
        <w:jc w:val="both"/>
        <w:rPr>
          <w:rFonts w:eastAsiaTheme="minorEastAsia"/>
        </w:rPr>
      </w:pPr>
      <w:r>
        <w:t>Lettoof, DC, Nguyen, TV, Richmond, WR, Nice, HE, Gagnon, MM, Beale, DJ</w:t>
      </w:r>
      <w:r w:rsidR="21F8BB7F">
        <w:t xml:space="preserve">, 2023. </w:t>
      </w:r>
      <w:r>
        <w:t>Bioaccumulation and metabolic impact of environmental PFAS residue on wild-caught urban wetland tiger snakes (N</w:t>
      </w:r>
      <w:r w:rsidRPr="009E3D49">
        <w:rPr>
          <w:i/>
          <w:iCs/>
        </w:rPr>
        <w:t>otechis scutatus</w:t>
      </w:r>
      <w:r>
        <w:t>). Science of the Total Environment,</w:t>
      </w:r>
      <w:r w:rsidR="75023371">
        <w:t xml:space="preserve"> 897, 165260. </w:t>
      </w:r>
    </w:p>
    <w:p w14:paraId="0DBB6FB9" w14:textId="263F95AF" w:rsidR="09EBF190" w:rsidRDefault="0FFAED67" w:rsidP="5FF66AB4">
      <w:pPr>
        <w:spacing w:after="168"/>
        <w:jc w:val="both"/>
        <w:rPr>
          <w:rFonts w:eastAsiaTheme="minorEastAsia"/>
        </w:rPr>
      </w:pPr>
      <w:r w:rsidRPr="5FF66AB4">
        <w:rPr>
          <w:rFonts w:eastAsiaTheme="minorEastAsia"/>
        </w:rPr>
        <w:t xml:space="preserve">Lou, QQ, Zhang, YF, Zhou, Z, Shi, YL, Ge, YN, Ren, DK, Xu, HM, Zhao, YX, Wei, WJ &amp; Qin, ZF 2013. Effects of perfluorooctanesulfonate and perfluorobutanesulfonate on the growth and sexual development of </w:t>
      </w:r>
      <w:r w:rsidRPr="5FF66AB4">
        <w:rPr>
          <w:rFonts w:eastAsiaTheme="minorEastAsia"/>
          <w:i/>
          <w:iCs/>
        </w:rPr>
        <w:t>Xenopus laevis</w:t>
      </w:r>
      <w:r w:rsidRPr="5FF66AB4">
        <w:rPr>
          <w:rFonts w:eastAsiaTheme="minorEastAsia"/>
        </w:rPr>
        <w:t xml:space="preserve">. </w:t>
      </w:r>
      <w:r w:rsidRPr="5FF66AB4">
        <w:rPr>
          <w:rFonts w:eastAsiaTheme="minorEastAsia"/>
          <w:i/>
          <w:iCs/>
        </w:rPr>
        <w:t>Ecotoxicology</w:t>
      </w:r>
      <w:r w:rsidRPr="5FF66AB4">
        <w:rPr>
          <w:rFonts w:eastAsiaTheme="minorEastAsia"/>
        </w:rPr>
        <w:t>, 227, 1133–1144.</w:t>
      </w:r>
    </w:p>
    <w:p w14:paraId="269E5048" w14:textId="5599CBD2" w:rsidR="09EBF190" w:rsidRDefault="09EBF190" w:rsidP="4301F19E">
      <w:pPr>
        <w:spacing w:after="168"/>
        <w:jc w:val="both"/>
        <w:rPr>
          <w:rFonts w:eastAsiaTheme="minorEastAsia"/>
        </w:rPr>
      </w:pPr>
      <w:r w:rsidRPr="4301F19E">
        <w:rPr>
          <w:rFonts w:eastAsiaTheme="minorEastAsia"/>
        </w:rPr>
        <w:t xml:space="preserve">Lu, GH, Liu, JC, Sun, LS &amp; Yuan, LJ 2015. Toxicity of perfluorononanoic acid and perfluorooctane sulfonate to </w:t>
      </w:r>
      <w:r w:rsidRPr="4301F19E">
        <w:rPr>
          <w:rFonts w:eastAsiaTheme="minorEastAsia"/>
          <w:i/>
          <w:iCs/>
        </w:rPr>
        <w:t>Daphnia magna</w:t>
      </w:r>
      <w:r w:rsidRPr="4301F19E">
        <w:rPr>
          <w:rFonts w:eastAsiaTheme="minorEastAsia"/>
        </w:rPr>
        <w:t xml:space="preserve">. </w:t>
      </w:r>
      <w:r w:rsidRPr="4301F19E">
        <w:rPr>
          <w:rFonts w:eastAsiaTheme="minorEastAsia"/>
          <w:i/>
          <w:iCs/>
        </w:rPr>
        <w:t>Water Science and Engineering</w:t>
      </w:r>
      <w:r w:rsidRPr="4301F19E">
        <w:rPr>
          <w:rFonts w:eastAsiaTheme="minorEastAsia"/>
        </w:rPr>
        <w:t>, 8, 40–48.</w:t>
      </w:r>
    </w:p>
    <w:p w14:paraId="252A5825" w14:textId="318B7EE0" w:rsidR="09EBF190" w:rsidRDefault="09EBF190" w:rsidP="4301F19E">
      <w:pPr>
        <w:spacing w:after="168"/>
        <w:jc w:val="both"/>
        <w:rPr>
          <w:rFonts w:eastAsiaTheme="minorEastAsia"/>
        </w:rPr>
      </w:pPr>
      <w:r w:rsidRPr="4301F19E">
        <w:rPr>
          <w:rFonts w:eastAsiaTheme="minorEastAsia"/>
        </w:rPr>
        <w:t xml:space="preserve">MacDonald, MM, Warne, AL, Stock, NL, Mabury, SA, Solomon, KR &amp; Sibley, PK 2004. Toxicity of perfluorooctane sulfonic acid and perfluorooctanoic acid to </w:t>
      </w:r>
      <w:r w:rsidRPr="4301F19E">
        <w:rPr>
          <w:rFonts w:eastAsiaTheme="minorEastAsia"/>
          <w:i/>
          <w:iCs/>
        </w:rPr>
        <w:t>Chironomus tentans</w:t>
      </w:r>
      <w:r w:rsidRPr="4301F19E">
        <w:rPr>
          <w:rFonts w:eastAsiaTheme="minorEastAsia"/>
        </w:rPr>
        <w:t xml:space="preserve">. </w:t>
      </w:r>
      <w:r w:rsidRPr="4301F19E">
        <w:rPr>
          <w:rFonts w:eastAsiaTheme="minorEastAsia"/>
          <w:i/>
          <w:iCs/>
        </w:rPr>
        <w:t>Environmental Toxicology and Chemistry</w:t>
      </w:r>
      <w:r w:rsidRPr="4301F19E">
        <w:rPr>
          <w:rFonts w:eastAsiaTheme="minorEastAsia"/>
        </w:rPr>
        <w:t>, 23, 2116–2123.</w:t>
      </w:r>
    </w:p>
    <w:p w14:paraId="37CE392E" w14:textId="63805C04" w:rsidR="09EBF190" w:rsidRDefault="09EBF190" w:rsidP="4301F19E">
      <w:pPr>
        <w:spacing w:after="168"/>
        <w:jc w:val="both"/>
        <w:rPr>
          <w:rFonts w:eastAsiaTheme="minorEastAsia"/>
        </w:rPr>
      </w:pPr>
      <w:r w:rsidRPr="4301F19E">
        <w:rPr>
          <w:rFonts w:eastAsiaTheme="minorEastAsia"/>
        </w:rPr>
        <w:t xml:space="preserve">Marziali, L, Rosignoli, F, Valsecchi, S, Polesello, S &amp; Stefani, F 2019. Effects of perfluoralkyl substances (PFASs) on a multigenerational scale: a case study with </w:t>
      </w:r>
      <w:r w:rsidRPr="4301F19E">
        <w:rPr>
          <w:rFonts w:eastAsiaTheme="minorEastAsia"/>
          <w:i/>
          <w:iCs/>
        </w:rPr>
        <w:t>Chironomus riparius</w:t>
      </w:r>
      <w:r w:rsidRPr="4301F19E">
        <w:rPr>
          <w:rFonts w:eastAsiaTheme="minorEastAsia"/>
        </w:rPr>
        <w:t xml:space="preserve"> (Diptera, Chironomidae). </w:t>
      </w:r>
      <w:r w:rsidRPr="4301F19E">
        <w:rPr>
          <w:rFonts w:eastAsiaTheme="minorEastAsia"/>
          <w:i/>
          <w:iCs/>
        </w:rPr>
        <w:t>Environmental Toxicology and Chemistry</w:t>
      </w:r>
      <w:r w:rsidRPr="4301F19E">
        <w:rPr>
          <w:rFonts w:eastAsiaTheme="minorEastAsia"/>
        </w:rPr>
        <w:t>, 38, 988–999.</w:t>
      </w:r>
    </w:p>
    <w:p w14:paraId="65291F83" w14:textId="4F3AC860" w:rsidR="09EBF190" w:rsidRDefault="09EBF190" w:rsidP="4301F19E">
      <w:pPr>
        <w:spacing w:after="168"/>
        <w:jc w:val="both"/>
        <w:rPr>
          <w:rFonts w:eastAsiaTheme="minorEastAsia"/>
        </w:rPr>
      </w:pPr>
      <w:r w:rsidRPr="4301F19E">
        <w:rPr>
          <w:rFonts w:eastAsiaTheme="minorEastAsia"/>
        </w:rPr>
        <w:t>OECD 2002. Hazard assessment of perfluorooctane (PFOS) and its salts. Environment directorate – Joint meeting of the chemicals committee and the working party on chemicals, pesticides and biotechnology. Report ENV/JM/</w:t>
      </w:r>
      <w:proofErr w:type="gramStart"/>
      <w:r w:rsidRPr="4301F19E">
        <w:rPr>
          <w:rFonts w:eastAsiaTheme="minorEastAsia"/>
        </w:rPr>
        <w:t>RD(</w:t>
      </w:r>
      <w:proofErr w:type="gramEnd"/>
      <w:r w:rsidRPr="4301F19E">
        <w:rPr>
          <w:rFonts w:eastAsiaTheme="minorEastAsia"/>
        </w:rPr>
        <w:t>2002)17/Final. The Organisation for Economic Co-operation and Development.</w:t>
      </w:r>
    </w:p>
    <w:p w14:paraId="6C28CD84" w14:textId="099530D2" w:rsidR="1CB8E96D" w:rsidRDefault="1CB8E96D">
      <w:r>
        <w:t xml:space="preserve">Pandelides, Z, Arblaster, J, </w:t>
      </w:r>
      <w:r w:rsidR="36737BAB">
        <w:t xml:space="preserve">&amp; </w:t>
      </w:r>
      <w:r>
        <w:t>Conder, J 2023. Establishing Chronic Toxicity Effect Levels for Zebrafish (</w:t>
      </w:r>
      <w:r w:rsidRPr="4301F19E">
        <w:rPr>
          <w:i/>
          <w:iCs/>
        </w:rPr>
        <w:t>Danio rerio</w:t>
      </w:r>
      <w:r>
        <w:t xml:space="preserve">) Exposed to Perfluorooctane Sulfonate. </w:t>
      </w:r>
      <w:hyperlink r:id="rId27">
        <w:r w:rsidRPr="4301F19E">
          <w:rPr>
            <w:rStyle w:val="Hyperlink"/>
            <w:b/>
            <w:bCs/>
          </w:rPr>
          <w:t>https://doi.org/10.1002/etc.5768</w:t>
        </w:r>
      </w:hyperlink>
    </w:p>
    <w:p w14:paraId="64EB0D1A" w14:textId="5944D4C5" w:rsidR="09EBF190" w:rsidRDefault="0FFAED67" w:rsidP="4301F19E">
      <w:pPr>
        <w:spacing w:after="168"/>
        <w:jc w:val="both"/>
        <w:rPr>
          <w:rFonts w:eastAsiaTheme="minorEastAsia"/>
        </w:rPr>
      </w:pPr>
      <w:r w:rsidRPr="5FF66AB4">
        <w:rPr>
          <w:rFonts w:eastAsiaTheme="minorEastAsia"/>
        </w:rPr>
        <w:t xml:space="preserve">Sanderson, H, Boudreau, TM, Mabury, SA, Cheong, WJ &amp; Solomon, KR 2002. Ecological impact and environmental fate of perfluorooctane sulfonate on the zooplankton community in indoor microcosms. </w:t>
      </w:r>
      <w:r w:rsidRPr="5FF66AB4">
        <w:rPr>
          <w:rFonts w:eastAsiaTheme="minorEastAsia"/>
          <w:i/>
          <w:iCs/>
        </w:rPr>
        <w:t>Environmental Toxicology and Chemistry</w:t>
      </w:r>
      <w:r w:rsidRPr="5FF66AB4">
        <w:rPr>
          <w:rFonts w:eastAsiaTheme="minorEastAsia"/>
        </w:rPr>
        <w:t>, 21, 1490–1496.</w:t>
      </w:r>
    </w:p>
    <w:p w14:paraId="09AFFA02" w14:textId="62E53BF2" w:rsidR="5D64485E" w:rsidRDefault="5D64485E" w:rsidP="5FF66AB4">
      <w:pPr>
        <w:spacing w:after="168"/>
        <w:jc w:val="both"/>
        <w:rPr>
          <w:rFonts w:eastAsiaTheme="minorEastAsia"/>
        </w:rPr>
      </w:pPr>
      <w:r w:rsidRPr="5FF66AB4">
        <w:rPr>
          <w:rFonts w:eastAsiaTheme="minorEastAsia"/>
        </w:rPr>
        <w:lastRenderedPageBreak/>
        <w:t>Sharp, S, Sardina, P, Metzeling, L, McKenzie, R, Leahy, P, Mekhorst, P and Hinwood, A, 2021</w:t>
      </w:r>
      <w:r w:rsidR="0FC032EA" w:rsidRPr="5FF66AB4">
        <w:rPr>
          <w:rFonts w:eastAsiaTheme="minorEastAsia"/>
        </w:rPr>
        <w:t xml:space="preserve">. Per- and Polyfluoroalkyl Substances in Ducks and the Relationship with Concentrations in Water, Sediment, and Soil. </w:t>
      </w:r>
      <w:r w:rsidRPr="5FF66AB4">
        <w:rPr>
          <w:rFonts w:eastAsiaTheme="minorEastAsia"/>
          <w:i/>
          <w:iCs/>
        </w:rPr>
        <w:t>Environmental Toxicology and Chemistry</w:t>
      </w:r>
      <w:r w:rsidR="072068AD" w:rsidRPr="5FF66AB4">
        <w:rPr>
          <w:rFonts w:eastAsiaTheme="minorEastAsia"/>
        </w:rPr>
        <w:t xml:space="preserve">, 40 (3) 846-858. </w:t>
      </w:r>
      <w:r w:rsidRPr="5FF66AB4">
        <w:rPr>
          <w:rFonts w:eastAsiaTheme="minorEastAsia"/>
        </w:rPr>
        <w:t xml:space="preserve"> </w:t>
      </w:r>
    </w:p>
    <w:p w14:paraId="60E2A079" w14:textId="20B7CDF7" w:rsidR="09EBF190" w:rsidRDefault="09EBF190" w:rsidP="4301F19E">
      <w:pPr>
        <w:spacing w:after="168"/>
        <w:jc w:val="both"/>
        <w:rPr>
          <w:rFonts w:eastAsiaTheme="minorEastAsia"/>
        </w:rPr>
      </w:pPr>
      <w:r w:rsidRPr="4301F19E">
        <w:rPr>
          <w:rFonts w:eastAsiaTheme="minorEastAsia"/>
        </w:rPr>
        <w:t xml:space="preserve">Stefani, F, Rusconi, M, Valsecchi, S &amp; Marziali, L 2014. Evolutionary ecotoxicology of perfluoralkyl substances (PFASs) inferred from multigenerational exposure: A case study with </w:t>
      </w:r>
      <w:r w:rsidRPr="4301F19E">
        <w:rPr>
          <w:rFonts w:eastAsiaTheme="minorEastAsia"/>
          <w:i/>
          <w:iCs/>
        </w:rPr>
        <w:t>Chironomus riparius</w:t>
      </w:r>
      <w:r w:rsidRPr="4301F19E">
        <w:rPr>
          <w:rFonts w:eastAsiaTheme="minorEastAsia"/>
        </w:rPr>
        <w:t xml:space="preserve"> (Diptera, Chironomidae). </w:t>
      </w:r>
      <w:r w:rsidRPr="4301F19E">
        <w:rPr>
          <w:rFonts w:eastAsiaTheme="minorEastAsia"/>
          <w:i/>
          <w:iCs/>
        </w:rPr>
        <w:t>Aquatic Toxicology</w:t>
      </w:r>
      <w:r w:rsidRPr="4301F19E">
        <w:rPr>
          <w:rFonts w:eastAsiaTheme="minorEastAsia"/>
        </w:rPr>
        <w:t>, 156, 41–51.</w:t>
      </w:r>
    </w:p>
    <w:p w14:paraId="612DA823" w14:textId="01EBB95C" w:rsidR="7B5131A6" w:rsidRDefault="523520C1">
      <w:r>
        <w:t>Warne, MStJ., Batley, GE, van Dam, RA, Chapman, JC, Fox, DR, Hickey, CW and Stauber, JL 2018</w:t>
      </w:r>
      <w:r w:rsidR="452E42B7">
        <w:t>.</w:t>
      </w:r>
      <w:r>
        <w:t xml:space="preserve"> Revised method for deriving Australian and New Zealand water quality guideline values for toxicants – update of 2015 version. Prepared for the revision of the Australian and New Zealand Guidelines for Fresh and Marine Water Quality. Australian and New Zealand Governments and Australian state and territory governments, Canberra, 48 pp.</w:t>
      </w:r>
    </w:p>
    <w:p w14:paraId="257EBB23" w14:textId="2832B2CD" w:rsidR="09EBF190" w:rsidRDefault="09EBF190" w:rsidP="4301F19E">
      <w:pPr>
        <w:spacing w:after="168"/>
        <w:jc w:val="both"/>
        <w:rPr>
          <w:rFonts w:eastAsiaTheme="minorEastAsia"/>
        </w:rPr>
      </w:pPr>
      <w:r w:rsidRPr="4301F19E">
        <w:rPr>
          <w:rFonts w:eastAsiaTheme="minorEastAsia"/>
        </w:rPr>
        <w:t xml:space="preserve">Yang, S, Xu, F, Wu, F, Wang, S &amp; Zheng, B 2014. Development of PFOS and PFOA criteria for the protection of freshwater aquatic life in China. </w:t>
      </w:r>
      <w:r w:rsidRPr="4301F19E">
        <w:rPr>
          <w:rFonts w:eastAsiaTheme="minorEastAsia"/>
          <w:i/>
          <w:iCs/>
        </w:rPr>
        <w:t>Science of the Total Environment</w:t>
      </w:r>
      <w:r w:rsidRPr="4301F19E">
        <w:rPr>
          <w:rFonts w:eastAsiaTheme="minorEastAsia"/>
        </w:rPr>
        <w:t>, 470–471, 677–683.</w:t>
      </w:r>
    </w:p>
    <w:p w14:paraId="342B5877" w14:textId="587751C5" w:rsidR="09EBF190" w:rsidRDefault="0FFAED67" w:rsidP="5FF66AB4">
      <w:pPr>
        <w:spacing w:after="168"/>
        <w:jc w:val="both"/>
        <w:rPr>
          <w:rFonts w:eastAsiaTheme="minorEastAsia"/>
        </w:rPr>
      </w:pPr>
      <w:r w:rsidRPr="5FF66AB4">
        <w:rPr>
          <w:rFonts w:eastAsiaTheme="minorEastAsia"/>
        </w:rPr>
        <w:t xml:space="preserve">Yuan, Z, Zhang, J, Meng, W &amp; Zhou, Y 2014. Effects of perfluorooctane sulfonate on behavioural activity, regeneration and antioxidant enzymes in planarian </w:t>
      </w:r>
      <w:r w:rsidRPr="5FF66AB4">
        <w:rPr>
          <w:rFonts w:eastAsiaTheme="minorEastAsia"/>
          <w:i/>
          <w:iCs/>
        </w:rPr>
        <w:t>Dugesia japonica</w:t>
      </w:r>
      <w:r w:rsidRPr="5FF66AB4">
        <w:rPr>
          <w:rFonts w:eastAsiaTheme="minorEastAsia"/>
        </w:rPr>
        <w:t xml:space="preserve">. </w:t>
      </w:r>
      <w:r w:rsidRPr="5FF66AB4">
        <w:rPr>
          <w:rFonts w:eastAsiaTheme="minorEastAsia"/>
          <w:i/>
          <w:iCs/>
        </w:rPr>
        <w:t>Chemistry and Ecology</w:t>
      </w:r>
      <w:r w:rsidRPr="5FF66AB4">
        <w:rPr>
          <w:rFonts w:eastAsiaTheme="minorEastAsia"/>
        </w:rPr>
        <w:t>, 30, 187–195.</w:t>
      </w:r>
    </w:p>
    <w:p w14:paraId="3BD706CE" w14:textId="64B5FF21" w:rsidR="09EBF190" w:rsidRDefault="6748694F" w:rsidP="5FF66AB4">
      <w:pPr>
        <w:spacing w:after="168"/>
        <w:jc w:val="both"/>
        <w:rPr>
          <w:rFonts w:eastAsiaTheme="minorEastAsia"/>
        </w:rPr>
      </w:pPr>
      <w:r w:rsidRPr="5FF66AB4">
        <w:rPr>
          <w:rFonts w:eastAsiaTheme="minorEastAsia"/>
        </w:rPr>
        <w:t>Vardy, S, Baddiley B, Braun, C, Limpus, C, Limpus, DJ, Du Plessis, M, Nilsson, S, Gonzalez-Astudillo, V, Beale, D. Partitioning of PFAS to serum, tissues, eggs, and hatchlings of an Australian freshwater turtle. J</w:t>
      </w:r>
      <w:r w:rsidR="5AE8CD3E" w:rsidRPr="5FF66AB4">
        <w:rPr>
          <w:rFonts w:eastAsiaTheme="minorEastAsia"/>
          <w:i/>
          <w:iCs/>
        </w:rPr>
        <w:t xml:space="preserve">ournal of </w:t>
      </w:r>
      <w:r w:rsidRPr="5FF66AB4">
        <w:rPr>
          <w:rFonts w:eastAsiaTheme="minorEastAsia"/>
          <w:i/>
          <w:iCs/>
        </w:rPr>
        <w:t>Hazard Mater</w:t>
      </w:r>
      <w:r w:rsidR="41E3C2FB" w:rsidRPr="5FF66AB4">
        <w:rPr>
          <w:rFonts w:eastAsiaTheme="minorEastAsia"/>
          <w:i/>
          <w:iCs/>
        </w:rPr>
        <w:t>ials</w:t>
      </w:r>
      <w:r w:rsidR="5F42469C" w:rsidRPr="5FF66AB4">
        <w:rPr>
          <w:rFonts w:eastAsiaTheme="minorEastAsia"/>
          <w:i/>
          <w:iCs/>
        </w:rPr>
        <w:t>,</w:t>
      </w:r>
      <w:r w:rsidR="4FE66EE4" w:rsidRPr="5FF66AB4">
        <w:rPr>
          <w:rFonts w:eastAsiaTheme="minorEastAsia"/>
        </w:rPr>
        <w:t xml:space="preserve"> 469</w:t>
      </w:r>
      <w:r w:rsidR="561F6750" w:rsidRPr="5FF66AB4">
        <w:rPr>
          <w:rFonts w:eastAsiaTheme="minorEastAsia"/>
        </w:rPr>
        <w:t xml:space="preserve">, 13385. </w:t>
      </w:r>
    </w:p>
    <w:p w14:paraId="3F37AC62" w14:textId="0892FDCE" w:rsidR="09EBF190" w:rsidRDefault="0FFAED67" w:rsidP="5FF66AB4">
      <w:pPr>
        <w:spacing w:after="168"/>
        <w:jc w:val="both"/>
        <w:rPr>
          <w:rFonts w:eastAsiaTheme="minorEastAsia"/>
        </w:rPr>
      </w:pPr>
      <w:r w:rsidRPr="5FF66AB4">
        <w:rPr>
          <w:rFonts w:eastAsiaTheme="minorEastAsia"/>
        </w:rPr>
        <w:t xml:space="preserve">Zhang, DY, Xu, XL, Lu, Y, Xu, HY &amp; Yan, HM 2012. The effects of perfluorooctane sulfonate (PFOS) on physiological status and proliferation capacity of </w:t>
      </w:r>
      <w:r w:rsidRPr="5FF66AB4">
        <w:rPr>
          <w:rFonts w:eastAsiaTheme="minorEastAsia"/>
          <w:i/>
          <w:iCs/>
        </w:rPr>
        <w:t>Scenedesmus obliquus</w:t>
      </w:r>
      <w:r w:rsidRPr="5FF66AB4">
        <w:rPr>
          <w:rFonts w:eastAsiaTheme="minorEastAsia"/>
        </w:rPr>
        <w:t xml:space="preserve">. </w:t>
      </w:r>
      <w:r w:rsidRPr="5FF66AB4">
        <w:rPr>
          <w:rFonts w:eastAsiaTheme="minorEastAsia"/>
          <w:i/>
          <w:iCs/>
        </w:rPr>
        <w:t>Applied Mechanics and Materials</w:t>
      </w:r>
      <w:r w:rsidRPr="5FF66AB4">
        <w:rPr>
          <w:rFonts w:eastAsiaTheme="minorEastAsia"/>
        </w:rPr>
        <w:t>, 209, 1131–1135.</w:t>
      </w:r>
    </w:p>
    <w:p w14:paraId="1461A2C0" w14:textId="22D01171" w:rsidR="00A32152" w:rsidRDefault="09EBF190" w:rsidP="00C05884">
      <w:pPr>
        <w:spacing w:after="168"/>
        <w:jc w:val="both"/>
      </w:pPr>
      <w:r w:rsidRPr="4301F19E">
        <w:rPr>
          <w:rFonts w:eastAsiaTheme="minorEastAsia"/>
        </w:rPr>
        <w:t xml:space="preserve">Zhang, L, Niu, J, Li, Y, Wang, Y &amp; Sun, D 2013. Evaluating the sub-lethal toxicity of PFOS and PFOA using rotifer </w:t>
      </w:r>
      <w:r w:rsidRPr="4301F19E">
        <w:rPr>
          <w:rFonts w:eastAsiaTheme="minorEastAsia"/>
          <w:i/>
          <w:iCs/>
        </w:rPr>
        <w:t>Brachionus calyciflorus</w:t>
      </w:r>
      <w:r w:rsidRPr="4301F19E">
        <w:rPr>
          <w:rFonts w:eastAsiaTheme="minorEastAsia"/>
        </w:rPr>
        <w:t xml:space="preserve">. </w:t>
      </w:r>
      <w:r w:rsidRPr="4301F19E">
        <w:rPr>
          <w:rFonts w:eastAsiaTheme="minorEastAsia"/>
          <w:i/>
          <w:iCs/>
        </w:rPr>
        <w:t>Environmental Pollution</w:t>
      </w:r>
      <w:r w:rsidRPr="4301F19E">
        <w:rPr>
          <w:rFonts w:eastAsiaTheme="minorEastAsia"/>
        </w:rPr>
        <w:t>, 180, 34–4</w:t>
      </w:r>
      <w:r w:rsidR="00C05884">
        <w:rPr>
          <w:rFonts w:eastAsiaTheme="minorEastAsia"/>
        </w:rPr>
        <w:t>.</w:t>
      </w:r>
      <w:bookmarkStart w:id="17" w:name="_Toc430782162"/>
      <w:bookmarkEnd w:id="17"/>
    </w:p>
    <w:p w14:paraId="77DC95FE" w14:textId="77777777" w:rsidR="00A32152" w:rsidRDefault="00A32152" w:rsidP="00284D14"/>
    <w:sectPr w:rsidR="00A32152" w:rsidSect="0069149E">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DC67B" w14:textId="77777777" w:rsidR="00D63BF0" w:rsidRDefault="00D63BF0">
      <w:r>
        <w:separator/>
      </w:r>
    </w:p>
    <w:p w14:paraId="29644729" w14:textId="77777777" w:rsidR="00D63BF0" w:rsidRDefault="00D63BF0"/>
    <w:p w14:paraId="070AA7A5" w14:textId="77777777" w:rsidR="00D63BF0" w:rsidRDefault="00D63BF0"/>
  </w:endnote>
  <w:endnote w:type="continuationSeparator" w:id="0">
    <w:p w14:paraId="045A893C" w14:textId="77777777" w:rsidR="00D63BF0" w:rsidRDefault="00D63BF0">
      <w:r>
        <w:continuationSeparator/>
      </w:r>
    </w:p>
    <w:p w14:paraId="204F8004" w14:textId="77777777" w:rsidR="00D63BF0" w:rsidRDefault="00D63BF0"/>
    <w:p w14:paraId="24EEDC4B" w14:textId="77777777" w:rsidR="00D63BF0" w:rsidRDefault="00D63BF0"/>
  </w:endnote>
  <w:endnote w:type="continuationNotice" w:id="1">
    <w:p w14:paraId="7C93F553" w14:textId="77777777" w:rsidR="00D63BF0" w:rsidRDefault="00D63BF0">
      <w:pPr>
        <w:pStyle w:val="Footer"/>
      </w:pPr>
    </w:p>
    <w:p w14:paraId="533765F7" w14:textId="77777777" w:rsidR="00D63BF0" w:rsidRDefault="00D63BF0"/>
    <w:p w14:paraId="0F4F9577" w14:textId="77777777" w:rsidR="00D63BF0" w:rsidRDefault="00D63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807A0" w14:textId="013FE2D4" w:rsidR="00D40325" w:rsidRDefault="00D40325">
    <w:pPr>
      <w:pStyle w:val="Footer"/>
    </w:pPr>
    <w:r>
      <w:rPr>
        <w:noProof/>
      </w:rPr>
      <mc:AlternateContent>
        <mc:Choice Requires="wps">
          <w:drawing>
            <wp:anchor distT="0" distB="0" distL="0" distR="0" simplePos="0" relativeHeight="251658246" behindDoc="0" locked="0" layoutInCell="1" allowOverlap="1" wp14:anchorId="0AED8CCD" wp14:editId="3681E892">
              <wp:simplePos x="635" y="635"/>
              <wp:positionH relativeFrom="page">
                <wp:align>center</wp:align>
              </wp:positionH>
              <wp:positionV relativeFrom="page">
                <wp:align>bottom</wp:align>
              </wp:positionV>
              <wp:extent cx="551815" cy="404495"/>
              <wp:effectExtent l="0" t="0" r="635" b="0"/>
              <wp:wrapNone/>
              <wp:docPr id="150390023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2EF4D6" w14:textId="287397AD"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ED8CCD" id="_x0000_t202" coordsize="21600,21600" o:spt="202" path="m,l,21600r21600,l21600,xe">
              <v:stroke joinstyle="miter"/>
              <v:path gradientshapeok="t" o:connecttype="rect"/>
            </v:shapetype>
            <v:shape id="Text Box 8" o:spid="_x0000_s1028"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42EF4D6" w14:textId="287397AD"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7CBA" w14:textId="6BE2D592" w:rsidR="00B861B4" w:rsidRDefault="00D40325">
    <w:pPr>
      <w:pStyle w:val="Footer"/>
    </w:pPr>
    <w:r>
      <w:rPr>
        <w:noProof/>
      </w:rPr>
      <mc:AlternateContent>
        <mc:Choice Requires="wps">
          <w:drawing>
            <wp:anchor distT="0" distB="0" distL="0" distR="0" simplePos="0" relativeHeight="251658243" behindDoc="0" locked="0" layoutInCell="1" allowOverlap="1" wp14:anchorId="78282ED5" wp14:editId="686AA9C8">
              <wp:simplePos x="901065" y="10050780"/>
              <wp:positionH relativeFrom="page">
                <wp:align>center</wp:align>
              </wp:positionH>
              <wp:positionV relativeFrom="page">
                <wp:align>bottom</wp:align>
              </wp:positionV>
              <wp:extent cx="551815" cy="404495"/>
              <wp:effectExtent l="0" t="0" r="635" b="0"/>
              <wp:wrapNone/>
              <wp:docPr id="9433269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D9EB22A" w14:textId="5C25DAC9"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282ED5" id="_x0000_t202" coordsize="21600,21600" o:spt="202" path="m,l,21600r21600,l21600,xe">
              <v:stroke joinstyle="miter"/>
              <v:path gradientshapeok="t" o:connecttype="rect"/>
            </v:shapetype>
            <v:shape id="Text Box 9" o:spid="_x0000_s1029"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D9EB22A" w14:textId="5C25DAC9"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v:textbox>
              <w10:wrap anchorx="page" anchory="page"/>
            </v:shape>
          </w:pict>
        </mc:Fallback>
      </mc:AlternateContent>
    </w:r>
    <w:r w:rsidR="00D86640" w:rsidRPr="00D86640">
      <w:t>Department of Climate Change, Energy, the Environment and Water</w:t>
    </w:r>
  </w:p>
  <w:p w14:paraId="2398C38A"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301F19E" w14:paraId="26E8ECCB" w14:textId="77777777" w:rsidTr="4301F19E">
      <w:trPr>
        <w:trHeight w:val="300"/>
      </w:trPr>
      <w:tc>
        <w:tcPr>
          <w:tcW w:w="3020" w:type="dxa"/>
        </w:tcPr>
        <w:p w14:paraId="08789543" w14:textId="28B21F8F" w:rsidR="4301F19E" w:rsidRDefault="00D40325" w:rsidP="4301F19E">
          <w:pPr>
            <w:pStyle w:val="Header"/>
            <w:ind w:left="-115"/>
            <w:jc w:val="left"/>
          </w:pPr>
          <w:r>
            <w:rPr>
              <w:noProof/>
            </w:rPr>
            <mc:AlternateContent>
              <mc:Choice Requires="wps">
                <w:drawing>
                  <wp:anchor distT="0" distB="0" distL="0" distR="0" simplePos="0" relativeHeight="251658242" behindDoc="0" locked="0" layoutInCell="1" allowOverlap="1" wp14:anchorId="54717B80" wp14:editId="1F5E4B58">
                    <wp:simplePos x="971550" y="10001250"/>
                    <wp:positionH relativeFrom="page">
                      <wp:align>center</wp:align>
                    </wp:positionH>
                    <wp:positionV relativeFrom="page">
                      <wp:align>bottom</wp:align>
                    </wp:positionV>
                    <wp:extent cx="551815" cy="404495"/>
                    <wp:effectExtent l="0" t="0" r="635" b="0"/>
                    <wp:wrapNone/>
                    <wp:docPr id="13330227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C80D82E" w14:textId="25F24457"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717B80" id="_x0000_t202" coordsize="21600,21600" o:spt="202" path="m,l,21600r21600,l21600,xe">
                    <v:stroke joinstyle="miter"/>
                    <v:path gradientshapeok="t" o:connecttype="rect"/>
                  </v:shapetype>
                  <v:shape id="Text Box 7" o:spid="_x0000_s1031"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C80D82E" w14:textId="25F24457"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v:textbox>
                    <w10:wrap anchorx="page" anchory="page"/>
                  </v:shape>
                </w:pict>
              </mc:Fallback>
            </mc:AlternateContent>
          </w:r>
        </w:p>
      </w:tc>
      <w:tc>
        <w:tcPr>
          <w:tcW w:w="3020" w:type="dxa"/>
        </w:tcPr>
        <w:p w14:paraId="44484CBC" w14:textId="7ED6A190" w:rsidR="4301F19E" w:rsidRDefault="4301F19E" w:rsidP="4301F19E">
          <w:pPr>
            <w:pStyle w:val="Header"/>
          </w:pPr>
        </w:p>
      </w:tc>
      <w:tc>
        <w:tcPr>
          <w:tcW w:w="3020" w:type="dxa"/>
        </w:tcPr>
        <w:p w14:paraId="056C84A2" w14:textId="6A24C788" w:rsidR="4301F19E" w:rsidRDefault="4301F19E" w:rsidP="4301F19E">
          <w:pPr>
            <w:pStyle w:val="Header"/>
            <w:ind w:right="-115"/>
            <w:jc w:val="right"/>
          </w:pPr>
        </w:p>
      </w:tc>
    </w:tr>
  </w:tbl>
  <w:p w14:paraId="5B632EC1" w14:textId="3A6DA562" w:rsidR="4301F19E" w:rsidRDefault="4301F19E" w:rsidP="4301F1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5D516" w14:textId="35E61524" w:rsidR="00D40325" w:rsidRDefault="00D40325">
    <w:pPr>
      <w:pStyle w:val="Footer"/>
    </w:pPr>
    <w:r>
      <w:rPr>
        <w:noProof/>
      </w:rPr>
      <mc:AlternateContent>
        <mc:Choice Requires="wps">
          <w:drawing>
            <wp:anchor distT="0" distB="0" distL="0" distR="0" simplePos="0" relativeHeight="251658249" behindDoc="0" locked="0" layoutInCell="1" allowOverlap="1" wp14:anchorId="56C5DC65" wp14:editId="19F34624">
              <wp:simplePos x="635" y="635"/>
              <wp:positionH relativeFrom="page">
                <wp:align>center</wp:align>
              </wp:positionH>
              <wp:positionV relativeFrom="page">
                <wp:align>bottom</wp:align>
              </wp:positionV>
              <wp:extent cx="551815" cy="404495"/>
              <wp:effectExtent l="0" t="0" r="635" b="0"/>
              <wp:wrapNone/>
              <wp:docPr id="109599004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6A879D0" w14:textId="5855E007"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C5DC65" id="_x0000_t202" coordsize="21600,21600" o:spt="202" path="m,l,21600r21600,l21600,xe">
              <v:stroke joinstyle="miter"/>
              <v:path gradientshapeok="t" o:connecttype="rect"/>
            </v:shapetype>
            <v:shape id="Text Box 11" o:spid="_x0000_s1034" type="#_x0000_t202" alt="OFFICIAL" style="position:absolute;left:0;text-align:left;margin-left:0;margin-top:0;width:43.45pt;height:31.8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xvXfQ4CAAAc&#10;BAAADgAAAAAAAAAAAAAAAAAuAgAAZHJzL2Uyb0RvYy54bWxQSwECLQAUAAYACAAAACEAH1WiDdsA&#10;AAADAQAADwAAAAAAAAAAAAAAAABoBAAAZHJzL2Rvd25yZXYueG1sUEsFBgAAAAAEAAQA8wAAAHAF&#10;AAAAAA==&#10;" filled="f" stroked="f">
              <v:textbox style="mso-fit-shape-to-text:t" inset="0,0,0,15pt">
                <w:txbxContent>
                  <w:p w14:paraId="16A879D0" w14:textId="5855E007"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D7145" w14:textId="67340ED8" w:rsidR="00D40325" w:rsidRDefault="00D40325">
    <w:pPr>
      <w:pStyle w:val="Footer"/>
    </w:pPr>
    <w:r>
      <w:rPr>
        <w:noProof/>
      </w:rPr>
      <mc:AlternateContent>
        <mc:Choice Requires="wps">
          <w:drawing>
            <wp:anchor distT="0" distB="0" distL="0" distR="0" simplePos="0" relativeHeight="251658250" behindDoc="0" locked="0" layoutInCell="1" allowOverlap="1" wp14:anchorId="532A4F5B" wp14:editId="066F873C">
              <wp:simplePos x="635" y="635"/>
              <wp:positionH relativeFrom="page">
                <wp:align>center</wp:align>
              </wp:positionH>
              <wp:positionV relativeFrom="page">
                <wp:align>bottom</wp:align>
              </wp:positionV>
              <wp:extent cx="551815" cy="404495"/>
              <wp:effectExtent l="0" t="0" r="635" b="0"/>
              <wp:wrapNone/>
              <wp:docPr id="871018559"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077DDFB" w14:textId="418BCD5C"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2A4F5B" id="_x0000_t202" coordsize="21600,21600" o:spt="202" path="m,l,21600r21600,l21600,xe">
              <v:stroke joinstyle="miter"/>
              <v:path gradientshapeok="t" o:connecttype="rect"/>
            </v:shapetype>
            <v:shape id="Text Box 12" o:spid="_x0000_s1035" type="#_x0000_t202" alt="OFFICIAL" style="position:absolute;left:0;text-align:left;margin-left:0;margin-top:0;width:43.45pt;height:31.8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XqRlQA4CAAAc&#10;BAAADgAAAAAAAAAAAAAAAAAuAgAAZHJzL2Uyb0RvYy54bWxQSwECLQAUAAYACAAAACEAH1WiDdsA&#10;AAADAQAADwAAAAAAAAAAAAAAAABoBAAAZHJzL2Rvd25yZXYueG1sUEsFBgAAAAAEAAQA8wAAAHAF&#10;AAAAAA==&#10;" filled="f" stroked="f">
              <v:textbox style="mso-fit-shape-to-text:t" inset="0,0,0,15pt">
                <w:txbxContent>
                  <w:p w14:paraId="7077DDFB" w14:textId="418BCD5C"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301F19E" w14:paraId="0253591C" w14:textId="77777777" w:rsidTr="4301F19E">
      <w:trPr>
        <w:trHeight w:val="300"/>
      </w:trPr>
      <w:tc>
        <w:tcPr>
          <w:tcW w:w="3020" w:type="dxa"/>
        </w:tcPr>
        <w:p w14:paraId="3209F886" w14:textId="27DC239C" w:rsidR="4301F19E" w:rsidRDefault="00D40325" w:rsidP="4301F19E">
          <w:pPr>
            <w:pStyle w:val="Header"/>
            <w:ind w:left="-115"/>
            <w:jc w:val="left"/>
          </w:pPr>
          <w:r>
            <w:rPr>
              <w:noProof/>
            </w:rPr>
            <mc:AlternateContent>
              <mc:Choice Requires="wps">
                <w:drawing>
                  <wp:anchor distT="0" distB="0" distL="0" distR="0" simplePos="0" relativeHeight="251658244" behindDoc="0" locked="0" layoutInCell="1" allowOverlap="1" wp14:anchorId="434EE60C" wp14:editId="045B80A2">
                    <wp:simplePos x="635" y="635"/>
                    <wp:positionH relativeFrom="page">
                      <wp:align>center</wp:align>
                    </wp:positionH>
                    <wp:positionV relativeFrom="page">
                      <wp:align>bottom</wp:align>
                    </wp:positionV>
                    <wp:extent cx="551815" cy="404495"/>
                    <wp:effectExtent l="0" t="0" r="635" b="0"/>
                    <wp:wrapNone/>
                    <wp:docPr id="78617655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DC35C24" w14:textId="1AB27831"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4EE60C" id="_x0000_t202" coordsize="21600,21600" o:spt="202" path="m,l,21600r21600,l21600,xe">
                    <v:stroke joinstyle="miter"/>
                    <v:path gradientshapeok="t" o:connecttype="rect"/>
                  </v:shapetype>
                  <v:shape id="Text Box 10" o:spid="_x0000_s1037"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Vs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5f2a2hOOJWDceHe8k2HtbfMhxfmcMM4CKo2&#10;POMhFfQVhbNFSQvux9/8MR+JxyglPSqmogYlTYn6ZnAhUVyT4SajTkZxly9yjJuDfgDUYYFPwvJk&#10;otcFNZnSgX5DPa9jIQwxw7FcRevJfAijdPE9cLFepyTUkWVha3aWR+jIVyTzdXhjzp4ZD7iqJ5jk&#10;xMp3xI+58aa360NA+tNWIrcjkWfKUYNpr+f3EkX+63/Kur7q1U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L41bA4CAAAd&#10;BAAADgAAAAAAAAAAAAAAAAAuAgAAZHJzL2Uyb0RvYy54bWxQSwECLQAUAAYACAAAACEAH1WiDdsA&#10;AAADAQAADwAAAAAAAAAAAAAAAABoBAAAZHJzL2Rvd25yZXYueG1sUEsFBgAAAAAEAAQA8wAAAHAF&#10;AAAAAA==&#10;" filled="f" stroked="f">
                    <v:textbox style="mso-fit-shape-to-text:t" inset="0,0,0,15pt">
                      <w:txbxContent>
                        <w:p w14:paraId="0DC35C24" w14:textId="1AB27831"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v:textbox>
                    <w10:wrap anchorx="page" anchory="page"/>
                  </v:shape>
                </w:pict>
              </mc:Fallback>
            </mc:AlternateContent>
          </w:r>
        </w:p>
      </w:tc>
      <w:tc>
        <w:tcPr>
          <w:tcW w:w="3020" w:type="dxa"/>
        </w:tcPr>
        <w:p w14:paraId="1A7FE5A0" w14:textId="32B26E82" w:rsidR="4301F19E" w:rsidRDefault="4301F19E" w:rsidP="4301F19E">
          <w:pPr>
            <w:pStyle w:val="Header"/>
          </w:pPr>
        </w:p>
      </w:tc>
      <w:tc>
        <w:tcPr>
          <w:tcW w:w="3020" w:type="dxa"/>
        </w:tcPr>
        <w:p w14:paraId="34582481" w14:textId="3699B489" w:rsidR="4301F19E" w:rsidRDefault="4301F19E" w:rsidP="4301F19E">
          <w:pPr>
            <w:pStyle w:val="Header"/>
            <w:ind w:right="-115"/>
            <w:jc w:val="right"/>
          </w:pPr>
        </w:p>
      </w:tc>
    </w:tr>
  </w:tbl>
  <w:p w14:paraId="25767CF9" w14:textId="2B93D6C3" w:rsidR="4301F19E" w:rsidRDefault="4301F19E" w:rsidP="4301F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06FC8" w14:textId="77777777" w:rsidR="00D63BF0" w:rsidRDefault="00D63BF0">
      <w:r>
        <w:separator/>
      </w:r>
    </w:p>
    <w:p w14:paraId="1D2D43FE" w14:textId="77777777" w:rsidR="00D63BF0" w:rsidRDefault="00D63BF0"/>
    <w:p w14:paraId="6C96362C" w14:textId="77777777" w:rsidR="00D63BF0" w:rsidRDefault="00D63BF0"/>
  </w:footnote>
  <w:footnote w:type="continuationSeparator" w:id="0">
    <w:p w14:paraId="475AB19B" w14:textId="77777777" w:rsidR="00D63BF0" w:rsidRDefault="00D63BF0">
      <w:r>
        <w:continuationSeparator/>
      </w:r>
    </w:p>
    <w:p w14:paraId="7D5C6B8F" w14:textId="77777777" w:rsidR="00D63BF0" w:rsidRDefault="00D63BF0"/>
    <w:p w14:paraId="5D974E80" w14:textId="77777777" w:rsidR="00D63BF0" w:rsidRDefault="00D63BF0"/>
  </w:footnote>
  <w:footnote w:type="continuationNotice" w:id="1">
    <w:p w14:paraId="19A53D66" w14:textId="77777777" w:rsidR="00D63BF0" w:rsidRDefault="00D63BF0">
      <w:pPr>
        <w:pStyle w:val="Footer"/>
      </w:pPr>
    </w:p>
    <w:p w14:paraId="733142E6" w14:textId="77777777" w:rsidR="00D63BF0" w:rsidRDefault="00D63BF0"/>
    <w:p w14:paraId="43E07162" w14:textId="77777777" w:rsidR="00D63BF0" w:rsidRDefault="00D63B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FED54" w14:textId="52B53425" w:rsidR="00D40325" w:rsidRDefault="00D40325">
    <w:pPr>
      <w:pStyle w:val="Header"/>
    </w:pPr>
    <w:r>
      <w:rPr>
        <w:noProof/>
      </w:rPr>
      <mc:AlternateContent>
        <mc:Choice Requires="wps">
          <w:drawing>
            <wp:anchor distT="0" distB="0" distL="0" distR="0" simplePos="0" relativeHeight="251658245" behindDoc="0" locked="0" layoutInCell="1" allowOverlap="1" wp14:anchorId="0C9E4F94" wp14:editId="20B7E5E3">
              <wp:simplePos x="635" y="635"/>
              <wp:positionH relativeFrom="page">
                <wp:align>center</wp:align>
              </wp:positionH>
              <wp:positionV relativeFrom="page">
                <wp:align>top</wp:align>
              </wp:positionV>
              <wp:extent cx="551815" cy="404495"/>
              <wp:effectExtent l="0" t="0" r="635" b="14605"/>
              <wp:wrapNone/>
              <wp:docPr id="15361872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9E73B0B" w14:textId="56D0C579"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9E4F94"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9E73B0B" w14:textId="56D0C579"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2C15" w14:textId="3B0C089C" w:rsidR="00B861B4" w:rsidRPr="00E56464" w:rsidRDefault="00D40325" w:rsidP="00E56464">
    <w:pPr>
      <w:pStyle w:val="Header"/>
    </w:pPr>
    <w:r>
      <w:rPr>
        <w:noProof/>
      </w:rPr>
      <mc:AlternateContent>
        <mc:Choice Requires="wps">
          <w:drawing>
            <wp:anchor distT="0" distB="0" distL="0" distR="0" simplePos="0" relativeHeight="251658241" behindDoc="0" locked="0" layoutInCell="1" allowOverlap="1" wp14:anchorId="57B31CBE" wp14:editId="373AC5D6">
              <wp:simplePos x="901065" y="360680"/>
              <wp:positionH relativeFrom="page">
                <wp:align>center</wp:align>
              </wp:positionH>
              <wp:positionV relativeFrom="page">
                <wp:align>top</wp:align>
              </wp:positionV>
              <wp:extent cx="551815" cy="404495"/>
              <wp:effectExtent l="0" t="0" r="635" b="14605"/>
              <wp:wrapNone/>
              <wp:docPr id="31170538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A8208C" w14:textId="27F5693C"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B31CBE"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7A8208C" w14:textId="27F5693C"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v:textbox>
              <w10:wrap anchorx="page" anchory="page"/>
            </v:shape>
          </w:pict>
        </mc:Fallback>
      </mc:AlternateContent>
    </w:r>
    <w:r w:rsidR="00C144F5">
      <w:t xml:space="preserve">Independent </w:t>
    </w:r>
    <w:r w:rsidR="00E56464" w:rsidRPr="00E56464">
      <w:t>Review of Key Issues Arising from Public Comments on the PFOS Freshwater Draft Guideline Values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CBA0D" w14:textId="419CCAF8" w:rsidR="00B861B4" w:rsidRDefault="00D40325">
    <w:pPr>
      <w:pStyle w:val="Header"/>
      <w:jc w:val="left"/>
    </w:pPr>
    <w:r>
      <w:rPr>
        <w:noProof/>
      </w:rPr>
      <mc:AlternateContent>
        <mc:Choice Requires="wps">
          <w:drawing>
            <wp:anchor distT="0" distB="0" distL="0" distR="0" simplePos="0" relativeHeight="251658240" behindDoc="0" locked="0" layoutInCell="1" allowOverlap="1" wp14:anchorId="37237645" wp14:editId="548EA213">
              <wp:simplePos x="904875" y="361950"/>
              <wp:positionH relativeFrom="page">
                <wp:align>center</wp:align>
              </wp:positionH>
              <wp:positionV relativeFrom="page">
                <wp:align>top</wp:align>
              </wp:positionV>
              <wp:extent cx="551815" cy="404495"/>
              <wp:effectExtent l="0" t="0" r="635" b="14605"/>
              <wp:wrapNone/>
              <wp:docPr id="67982796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87A3D79" w14:textId="24951643"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237645"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87A3D79" w14:textId="24951643"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25B5D" w14:textId="433F97D4" w:rsidR="00D40325" w:rsidRDefault="00D40325">
    <w:pPr>
      <w:pStyle w:val="Header"/>
    </w:pPr>
    <w:r>
      <w:rPr>
        <w:noProof/>
      </w:rPr>
      <mc:AlternateContent>
        <mc:Choice Requires="wps">
          <w:drawing>
            <wp:anchor distT="0" distB="0" distL="0" distR="0" simplePos="0" relativeHeight="251658247" behindDoc="0" locked="0" layoutInCell="1" allowOverlap="1" wp14:anchorId="79B06552" wp14:editId="06D84FB9">
              <wp:simplePos x="635" y="635"/>
              <wp:positionH relativeFrom="page">
                <wp:align>center</wp:align>
              </wp:positionH>
              <wp:positionV relativeFrom="page">
                <wp:align>top</wp:align>
              </wp:positionV>
              <wp:extent cx="551815" cy="404495"/>
              <wp:effectExtent l="0" t="0" r="635" b="14605"/>
              <wp:wrapNone/>
              <wp:docPr id="111233341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1A5DD65" w14:textId="132B4442"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B06552" id="_x0000_t202" coordsize="21600,21600" o:spt="202" path="m,l,21600r21600,l21600,xe">
              <v:stroke joinstyle="miter"/>
              <v:path gradientshapeok="t" o:connecttype="rect"/>
            </v:shapetype>
            <v:shape id="Text Box 5" o:spid="_x0000_s1032" type="#_x0000_t202" alt="OFFICIAL" style="position:absolute;left:0;text-align:left;margin-left:0;margin-top:0;width:43.45pt;height:31.8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41A5DD65" w14:textId="132B4442"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06AF" w14:textId="4A275BB2" w:rsidR="00D40325" w:rsidRDefault="00D40325">
    <w:pPr>
      <w:pStyle w:val="Header"/>
    </w:pPr>
    <w:r>
      <w:rPr>
        <w:noProof/>
      </w:rPr>
      <mc:AlternateContent>
        <mc:Choice Requires="wps">
          <w:drawing>
            <wp:anchor distT="0" distB="0" distL="0" distR="0" simplePos="0" relativeHeight="251658248" behindDoc="0" locked="0" layoutInCell="1" allowOverlap="1" wp14:anchorId="62F594D4" wp14:editId="7A6A8400">
              <wp:simplePos x="635" y="635"/>
              <wp:positionH relativeFrom="page">
                <wp:align>center</wp:align>
              </wp:positionH>
              <wp:positionV relativeFrom="page">
                <wp:align>top</wp:align>
              </wp:positionV>
              <wp:extent cx="551815" cy="404495"/>
              <wp:effectExtent l="0" t="0" r="635" b="14605"/>
              <wp:wrapNone/>
              <wp:docPr id="200242221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96A1D4C" w14:textId="06F2C8B1"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F594D4" id="_x0000_t202" coordsize="21600,21600" o:spt="202" path="m,l,21600r21600,l21600,xe">
              <v:stroke joinstyle="miter"/>
              <v:path gradientshapeok="t" o:connecttype="rect"/>
            </v:shapetype>
            <v:shape id="Text Box 6" o:spid="_x0000_s1033" type="#_x0000_t202" alt="OFFICIAL" style="position:absolute;left:0;text-align:left;margin-left:0;margin-top:0;width:43.45pt;height:31.8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9PDgIAABw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au6L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HHX9PDgIAABwE&#10;AAAOAAAAAAAAAAAAAAAAAC4CAABkcnMvZTJvRG9jLnhtbFBLAQItABQABgAIAAAAIQD8pn6y2gAA&#10;AAMBAAAPAAAAAAAAAAAAAAAAAGgEAABkcnMvZG93bnJldi54bWxQSwUGAAAAAAQABADzAAAAbwUA&#10;AAAA&#10;" filled="f" stroked="f">
              <v:textbox style="mso-fit-shape-to-text:t" inset="0,15pt,0,0">
                <w:txbxContent>
                  <w:p w14:paraId="496A1D4C" w14:textId="06F2C8B1"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E7A56" w14:textId="207A6521" w:rsidR="00D40325" w:rsidRDefault="00D40325">
    <w:pPr>
      <w:pStyle w:val="Header"/>
    </w:pPr>
    <w:r>
      <w:rPr>
        <w:noProof/>
      </w:rPr>
      <mc:AlternateContent>
        <mc:Choice Requires="wps">
          <w:drawing>
            <wp:anchor distT="0" distB="0" distL="0" distR="0" simplePos="0" relativeHeight="251658251" behindDoc="0" locked="0" layoutInCell="1" allowOverlap="1" wp14:anchorId="12867124" wp14:editId="64E25CB3">
              <wp:simplePos x="635" y="635"/>
              <wp:positionH relativeFrom="page">
                <wp:align>center</wp:align>
              </wp:positionH>
              <wp:positionV relativeFrom="page">
                <wp:align>top</wp:align>
              </wp:positionV>
              <wp:extent cx="551815" cy="404495"/>
              <wp:effectExtent l="0" t="0" r="635" b="14605"/>
              <wp:wrapNone/>
              <wp:docPr id="84105957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48E6C1D" w14:textId="36D64637"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867124" id="_x0000_t202" coordsize="21600,21600" o:spt="202" path="m,l,21600r21600,l21600,xe">
              <v:stroke joinstyle="miter"/>
              <v:path gradientshapeok="t" o:connecttype="rect"/>
            </v:shapetype>
            <v:shape id="Text Box 4" o:spid="_x0000_s1036" type="#_x0000_t202" alt="OFFICIAL" style="position:absolute;left:0;text-align:left;margin-left:0;margin-top:0;width:43.45pt;height:31.8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GvG1uUNAgAAHQQA&#10;AA4AAAAAAAAAAAAAAAAALgIAAGRycy9lMm9Eb2MueG1sUEsBAi0AFAAGAAgAAAAhAPymfrLaAAAA&#10;AwEAAA8AAAAAAAAAAAAAAAAAZwQAAGRycy9kb3ducmV2LnhtbFBLBQYAAAAABAAEAPMAAABuBQAA&#10;AAA=&#10;" filled="f" stroked="f">
              <v:textbox style="mso-fit-shape-to-text:t" inset="0,15pt,0,0">
                <w:txbxContent>
                  <w:p w14:paraId="148E6C1D" w14:textId="36D64637" w:rsidR="00D40325" w:rsidRPr="00D40325" w:rsidRDefault="00D40325" w:rsidP="00D40325">
                    <w:pPr>
                      <w:spacing w:after="0"/>
                      <w:rPr>
                        <w:rFonts w:ascii="Calibri" w:eastAsia="Calibri" w:hAnsi="Calibri" w:cs="Calibri"/>
                        <w:noProof/>
                        <w:color w:val="FF0000"/>
                        <w:sz w:val="24"/>
                        <w:szCs w:val="24"/>
                      </w:rPr>
                    </w:pPr>
                    <w:r w:rsidRPr="00D4032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FEB4"/>
    <w:multiLevelType w:val="hybridMultilevel"/>
    <w:tmpl w:val="FFFFFFFF"/>
    <w:lvl w:ilvl="0" w:tplc="50FA0BCC">
      <w:start w:val="1"/>
      <w:numFmt w:val="bullet"/>
      <w:lvlText w:val=""/>
      <w:lvlJc w:val="left"/>
      <w:pPr>
        <w:ind w:left="720" w:hanging="360"/>
      </w:pPr>
      <w:rPr>
        <w:rFonts w:ascii="Symbol" w:hAnsi="Symbol" w:hint="default"/>
      </w:rPr>
    </w:lvl>
    <w:lvl w:ilvl="1" w:tplc="16C2971A">
      <w:start w:val="1"/>
      <w:numFmt w:val="bullet"/>
      <w:lvlText w:val="o"/>
      <w:lvlJc w:val="left"/>
      <w:pPr>
        <w:ind w:left="1440" w:hanging="360"/>
      </w:pPr>
      <w:rPr>
        <w:rFonts w:ascii="Courier New" w:hAnsi="Courier New" w:hint="default"/>
      </w:rPr>
    </w:lvl>
    <w:lvl w:ilvl="2" w:tplc="2D8E3030">
      <w:start w:val="1"/>
      <w:numFmt w:val="bullet"/>
      <w:lvlText w:val=""/>
      <w:lvlJc w:val="left"/>
      <w:pPr>
        <w:ind w:left="2160" w:hanging="360"/>
      </w:pPr>
      <w:rPr>
        <w:rFonts w:ascii="Wingdings" w:hAnsi="Wingdings" w:hint="default"/>
      </w:rPr>
    </w:lvl>
    <w:lvl w:ilvl="3" w:tplc="06D46FD2">
      <w:start w:val="1"/>
      <w:numFmt w:val="bullet"/>
      <w:lvlText w:val=""/>
      <w:lvlJc w:val="left"/>
      <w:pPr>
        <w:ind w:left="2880" w:hanging="360"/>
      </w:pPr>
      <w:rPr>
        <w:rFonts w:ascii="Symbol" w:hAnsi="Symbol" w:hint="default"/>
      </w:rPr>
    </w:lvl>
    <w:lvl w:ilvl="4" w:tplc="53AEA092">
      <w:start w:val="1"/>
      <w:numFmt w:val="bullet"/>
      <w:lvlText w:val="o"/>
      <w:lvlJc w:val="left"/>
      <w:pPr>
        <w:ind w:left="3600" w:hanging="360"/>
      </w:pPr>
      <w:rPr>
        <w:rFonts w:ascii="Courier New" w:hAnsi="Courier New" w:hint="default"/>
      </w:rPr>
    </w:lvl>
    <w:lvl w:ilvl="5" w:tplc="79C6FE98">
      <w:start w:val="1"/>
      <w:numFmt w:val="bullet"/>
      <w:lvlText w:val=""/>
      <w:lvlJc w:val="left"/>
      <w:pPr>
        <w:ind w:left="4320" w:hanging="360"/>
      </w:pPr>
      <w:rPr>
        <w:rFonts w:ascii="Wingdings" w:hAnsi="Wingdings" w:hint="default"/>
      </w:rPr>
    </w:lvl>
    <w:lvl w:ilvl="6" w:tplc="C668FAFC">
      <w:start w:val="1"/>
      <w:numFmt w:val="bullet"/>
      <w:lvlText w:val=""/>
      <w:lvlJc w:val="left"/>
      <w:pPr>
        <w:ind w:left="5040" w:hanging="360"/>
      </w:pPr>
      <w:rPr>
        <w:rFonts w:ascii="Symbol" w:hAnsi="Symbol" w:hint="default"/>
      </w:rPr>
    </w:lvl>
    <w:lvl w:ilvl="7" w:tplc="38D487E0">
      <w:start w:val="1"/>
      <w:numFmt w:val="bullet"/>
      <w:lvlText w:val="o"/>
      <w:lvlJc w:val="left"/>
      <w:pPr>
        <w:ind w:left="5760" w:hanging="360"/>
      </w:pPr>
      <w:rPr>
        <w:rFonts w:ascii="Courier New" w:hAnsi="Courier New" w:hint="default"/>
      </w:rPr>
    </w:lvl>
    <w:lvl w:ilvl="8" w:tplc="46D0EA76">
      <w:start w:val="1"/>
      <w:numFmt w:val="bullet"/>
      <w:lvlText w:val=""/>
      <w:lvlJc w:val="left"/>
      <w:pPr>
        <w:ind w:left="6480" w:hanging="360"/>
      </w:pPr>
      <w:rPr>
        <w:rFonts w:ascii="Wingdings" w:hAnsi="Wingdings" w:hint="default"/>
      </w:rPr>
    </w:lvl>
  </w:abstractNum>
  <w:abstractNum w:abstractNumId="1" w15:restartNumberingAfterBreak="0">
    <w:nsid w:val="09746311"/>
    <w:multiLevelType w:val="hybridMultilevel"/>
    <w:tmpl w:val="9034B8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20FA458"/>
    <w:multiLevelType w:val="hybridMultilevel"/>
    <w:tmpl w:val="FFFFFFFF"/>
    <w:lvl w:ilvl="0" w:tplc="12467358">
      <w:start w:val="1"/>
      <w:numFmt w:val="decimal"/>
      <w:lvlText w:val="%1."/>
      <w:lvlJc w:val="left"/>
      <w:pPr>
        <w:ind w:left="720" w:hanging="360"/>
      </w:pPr>
    </w:lvl>
    <w:lvl w:ilvl="1" w:tplc="8FEE1566">
      <w:start w:val="1"/>
      <w:numFmt w:val="decimal"/>
      <w:lvlText w:val="%2."/>
      <w:lvlJc w:val="left"/>
      <w:pPr>
        <w:ind w:left="1440" w:hanging="360"/>
      </w:pPr>
    </w:lvl>
    <w:lvl w:ilvl="2" w:tplc="5108F6AC">
      <w:start w:val="1"/>
      <w:numFmt w:val="lowerRoman"/>
      <w:lvlText w:val="%3."/>
      <w:lvlJc w:val="right"/>
      <w:pPr>
        <w:ind w:left="2160" w:hanging="180"/>
      </w:pPr>
    </w:lvl>
    <w:lvl w:ilvl="3" w:tplc="AB3CA276">
      <w:start w:val="1"/>
      <w:numFmt w:val="decimal"/>
      <w:lvlText w:val="%4."/>
      <w:lvlJc w:val="left"/>
      <w:pPr>
        <w:ind w:left="2880" w:hanging="360"/>
      </w:pPr>
    </w:lvl>
    <w:lvl w:ilvl="4" w:tplc="152C8CCC">
      <w:start w:val="1"/>
      <w:numFmt w:val="lowerLetter"/>
      <w:lvlText w:val="%5."/>
      <w:lvlJc w:val="left"/>
      <w:pPr>
        <w:ind w:left="3600" w:hanging="360"/>
      </w:pPr>
    </w:lvl>
    <w:lvl w:ilvl="5" w:tplc="FF46D196">
      <w:start w:val="1"/>
      <w:numFmt w:val="lowerRoman"/>
      <w:lvlText w:val="%6."/>
      <w:lvlJc w:val="right"/>
      <w:pPr>
        <w:ind w:left="4320" w:hanging="180"/>
      </w:pPr>
    </w:lvl>
    <w:lvl w:ilvl="6" w:tplc="FEE2A8A0">
      <w:start w:val="1"/>
      <w:numFmt w:val="decimal"/>
      <w:lvlText w:val="%7."/>
      <w:lvlJc w:val="left"/>
      <w:pPr>
        <w:ind w:left="5040" w:hanging="360"/>
      </w:pPr>
    </w:lvl>
    <w:lvl w:ilvl="7" w:tplc="9A5890CE">
      <w:start w:val="1"/>
      <w:numFmt w:val="lowerLetter"/>
      <w:lvlText w:val="%8."/>
      <w:lvlJc w:val="left"/>
      <w:pPr>
        <w:ind w:left="5760" w:hanging="360"/>
      </w:pPr>
    </w:lvl>
    <w:lvl w:ilvl="8" w:tplc="DCB6D0F6">
      <w:start w:val="1"/>
      <w:numFmt w:val="lowerRoman"/>
      <w:lvlText w:val="%9."/>
      <w:lvlJc w:val="right"/>
      <w:pPr>
        <w:ind w:left="6480" w:hanging="180"/>
      </w:pPr>
    </w:lvl>
  </w:abstractNum>
  <w:abstractNum w:abstractNumId="4" w15:restartNumberingAfterBreak="0">
    <w:nsid w:val="1311156E"/>
    <w:multiLevelType w:val="multilevel"/>
    <w:tmpl w:val="FB964FA2"/>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6" w15:restartNumberingAfterBreak="0">
    <w:nsid w:val="1FEF440A"/>
    <w:multiLevelType w:val="hybridMultilevel"/>
    <w:tmpl w:val="9F4CC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DC2591"/>
    <w:multiLevelType w:val="hybridMultilevel"/>
    <w:tmpl w:val="FFFFFFFF"/>
    <w:lvl w:ilvl="0" w:tplc="BB4E4822">
      <w:start w:val="1"/>
      <w:numFmt w:val="bullet"/>
      <w:lvlText w:val=""/>
      <w:lvlJc w:val="left"/>
      <w:pPr>
        <w:ind w:left="720" w:hanging="360"/>
      </w:pPr>
      <w:rPr>
        <w:rFonts w:ascii="Symbol" w:hAnsi="Symbol" w:hint="default"/>
      </w:rPr>
    </w:lvl>
    <w:lvl w:ilvl="1" w:tplc="C026F410">
      <w:start w:val="1"/>
      <w:numFmt w:val="bullet"/>
      <w:lvlText w:val="o"/>
      <w:lvlJc w:val="left"/>
      <w:pPr>
        <w:ind w:left="1440" w:hanging="360"/>
      </w:pPr>
      <w:rPr>
        <w:rFonts w:ascii="Courier New" w:hAnsi="Courier New" w:hint="default"/>
      </w:rPr>
    </w:lvl>
    <w:lvl w:ilvl="2" w:tplc="9336F6D0">
      <w:start w:val="1"/>
      <w:numFmt w:val="bullet"/>
      <w:lvlText w:val=""/>
      <w:lvlJc w:val="left"/>
      <w:pPr>
        <w:ind w:left="2160" w:hanging="360"/>
      </w:pPr>
      <w:rPr>
        <w:rFonts w:ascii="Wingdings" w:hAnsi="Wingdings" w:hint="default"/>
      </w:rPr>
    </w:lvl>
    <w:lvl w:ilvl="3" w:tplc="4AD88E78">
      <w:start w:val="1"/>
      <w:numFmt w:val="bullet"/>
      <w:lvlText w:val=""/>
      <w:lvlJc w:val="left"/>
      <w:pPr>
        <w:ind w:left="2880" w:hanging="360"/>
      </w:pPr>
      <w:rPr>
        <w:rFonts w:ascii="Symbol" w:hAnsi="Symbol" w:hint="default"/>
      </w:rPr>
    </w:lvl>
    <w:lvl w:ilvl="4" w:tplc="086A40D6">
      <w:start w:val="1"/>
      <w:numFmt w:val="bullet"/>
      <w:lvlText w:val="o"/>
      <w:lvlJc w:val="left"/>
      <w:pPr>
        <w:ind w:left="3600" w:hanging="360"/>
      </w:pPr>
      <w:rPr>
        <w:rFonts w:ascii="Courier New" w:hAnsi="Courier New" w:hint="default"/>
      </w:rPr>
    </w:lvl>
    <w:lvl w:ilvl="5" w:tplc="DFE4D50E">
      <w:start w:val="1"/>
      <w:numFmt w:val="bullet"/>
      <w:lvlText w:val=""/>
      <w:lvlJc w:val="left"/>
      <w:pPr>
        <w:ind w:left="4320" w:hanging="360"/>
      </w:pPr>
      <w:rPr>
        <w:rFonts w:ascii="Wingdings" w:hAnsi="Wingdings" w:hint="default"/>
      </w:rPr>
    </w:lvl>
    <w:lvl w:ilvl="6" w:tplc="FB0A591E">
      <w:start w:val="1"/>
      <w:numFmt w:val="bullet"/>
      <w:lvlText w:val=""/>
      <w:lvlJc w:val="left"/>
      <w:pPr>
        <w:ind w:left="5040" w:hanging="360"/>
      </w:pPr>
      <w:rPr>
        <w:rFonts w:ascii="Symbol" w:hAnsi="Symbol" w:hint="default"/>
      </w:rPr>
    </w:lvl>
    <w:lvl w:ilvl="7" w:tplc="424812D0">
      <w:start w:val="1"/>
      <w:numFmt w:val="bullet"/>
      <w:lvlText w:val="o"/>
      <w:lvlJc w:val="left"/>
      <w:pPr>
        <w:ind w:left="5760" w:hanging="360"/>
      </w:pPr>
      <w:rPr>
        <w:rFonts w:ascii="Courier New" w:hAnsi="Courier New" w:hint="default"/>
      </w:rPr>
    </w:lvl>
    <w:lvl w:ilvl="8" w:tplc="37A062E6">
      <w:start w:val="1"/>
      <w:numFmt w:val="bullet"/>
      <w:lvlText w:val=""/>
      <w:lvlJc w:val="left"/>
      <w:pPr>
        <w:ind w:left="6480" w:hanging="360"/>
      </w:pPr>
      <w:rPr>
        <w:rFonts w:ascii="Wingdings" w:hAnsi="Wingdings" w:hint="default"/>
      </w:rPr>
    </w:lvl>
  </w:abstractNum>
  <w:abstractNum w:abstractNumId="9" w15:restartNumberingAfterBreak="0">
    <w:nsid w:val="394A15FE"/>
    <w:multiLevelType w:val="multilevel"/>
    <w:tmpl w:val="F36C17E8"/>
    <w:numStyleLink w:val="Headinglist"/>
  </w:abstractNum>
  <w:abstractNum w:abstractNumId="10" w15:restartNumberingAfterBreak="0">
    <w:nsid w:val="3C5E3E3D"/>
    <w:multiLevelType w:val="hybridMultilevel"/>
    <w:tmpl w:val="FFFFFFFF"/>
    <w:lvl w:ilvl="0" w:tplc="7FDCBA2A">
      <w:start w:val="1"/>
      <w:numFmt w:val="bullet"/>
      <w:lvlText w:val=""/>
      <w:lvlJc w:val="left"/>
      <w:pPr>
        <w:ind w:left="720" w:hanging="360"/>
      </w:pPr>
      <w:rPr>
        <w:rFonts w:ascii="Symbol" w:hAnsi="Symbol" w:hint="default"/>
      </w:rPr>
    </w:lvl>
    <w:lvl w:ilvl="1" w:tplc="84508734">
      <w:start w:val="1"/>
      <w:numFmt w:val="bullet"/>
      <w:lvlText w:val="o"/>
      <w:lvlJc w:val="left"/>
      <w:pPr>
        <w:ind w:left="1440" w:hanging="360"/>
      </w:pPr>
      <w:rPr>
        <w:rFonts w:ascii="Courier New" w:hAnsi="Courier New" w:hint="default"/>
      </w:rPr>
    </w:lvl>
    <w:lvl w:ilvl="2" w:tplc="467453E6">
      <w:start w:val="1"/>
      <w:numFmt w:val="bullet"/>
      <w:lvlText w:val=""/>
      <w:lvlJc w:val="left"/>
      <w:pPr>
        <w:ind w:left="2160" w:hanging="360"/>
      </w:pPr>
      <w:rPr>
        <w:rFonts w:ascii="Wingdings" w:hAnsi="Wingdings" w:hint="default"/>
      </w:rPr>
    </w:lvl>
    <w:lvl w:ilvl="3" w:tplc="0DA820E6">
      <w:start w:val="1"/>
      <w:numFmt w:val="bullet"/>
      <w:lvlText w:val=""/>
      <w:lvlJc w:val="left"/>
      <w:pPr>
        <w:ind w:left="2880" w:hanging="360"/>
      </w:pPr>
      <w:rPr>
        <w:rFonts w:ascii="Symbol" w:hAnsi="Symbol" w:hint="default"/>
      </w:rPr>
    </w:lvl>
    <w:lvl w:ilvl="4" w:tplc="9238F7EE">
      <w:start w:val="1"/>
      <w:numFmt w:val="bullet"/>
      <w:lvlText w:val="o"/>
      <w:lvlJc w:val="left"/>
      <w:pPr>
        <w:ind w:left="3600" w:hanging="360"/>
      </w:pPr>
      <w:rPr>
        <w:rFonts w:ascii="Courier New" w:hAnsi="Courier New" w:hint="default"/>
      </w:rPr>
    </w:lvl>
    <w:lvl w:ilvl="5" w:tplc="06F434E2">
      <w:start w:val="1"/>
      <w:numFmt w:val="bullet"/>
      <w:lvlText w:val=""/>
      <w:lvlJc w:val="left"/>
      <w:pPr>
        <w:ind w:left="4320" w:hanging="360"/>
      </w:pPr>
      <w:rPr>
        <w:rFonts w:ascii="Wingdings" w:hAnsi="Wingdings" w:hint="default"/>
      </w:rPr>
    </w:lvl>
    <w:lvl w:ilvl="6" w:tplc="160408AC">
      <w:start w:val="1"/>
      <w:numFmt w:val="bullet"/>
      <w:lvlText w:val=""/>
      <w:lvlJc w:val="left"/>
      <w:pPr>
        <w:ind w:left="5040" w:hanging="360"/>
      </w:pPr>
      <w:rPr>
        <w:rFonts w:ascii="Symbol" w:hAnsi="Symbol" w:hint="default"/>
      </w:rPr>
    </w:lvl>
    <w:lvl w:ilvl="7" w:tplc="1EE0E2CA">
      <w:start w:val="1"/>
      <w:numFmt w:val="bullet"/>
      <w:lvlText w:val="o"/>
      <w:lvlJc w:val="left"/>
      <w:pPr>
        <w:ind w:left="5760" w:hanging="360"/>
      </w:pPr>
      <w:rPr>
        <w:rFonts w:ascii="Courier New" w:hAnsi="Courier New" w:hint="default"/>
      </w:rPr>
    </w:lvl>
    <w:lvl w:ilvl="8" w:tplc="FFEA7266">
      <w:start w:val="1"/>
      <w:numFmt w:val="bullet"/>
      <w:lvlText w:val=""/>
      <w:lvlJc w:val="left"/>
      <w:pPr>
        <w:ind w:left="6480" w:hanging="360"/>
      </w:pPr>
      <w:rPr>
        <w:rFonts w:ascii="Wingdings" w:hAnsi="Wingdings" w:hint="default"/>
      </w:rPr>
    </w:lvl>
  </w:abstractNum>
  <w:abstractNum w:abstractNumId="11" w15:restartNumberingAfterBreak="0">
    <w:nsid w:val="400DA12A"/>
    <w:multiLevelType w:val="hybridMultilevel"/>
    <w:tmpl w:val="FFFFFFFF"/>
    <w:lvl w:ilvl="0" w:tplc="458C9EAE">
      <w:start w:val="1"/>
      <w:numFmt w:val="bullet"/>
      <w:lvlText w:val=""/>
      <w:lvlJc w:val="left"/>
      <w:pPr>
        <w:ind w:left="720" w:hanging="360"/>
      </w:pPr>
      <w:rPr>
        <w:rFonts w:ascii="Symbol" w:hAnsi="Symbol" w:hint="default"/>
      </w:rPr>
    </w:lvl>
    <w:lvl w:ilvl="1" w:tplc="F7D44582">
      <w:start w:val="1"/>
      <w:numFmt w:val="bullet"/>
      <w:lvlText w:val="o"/>
      <w:lvlJc w:val="left"/>
      <w:pPr>
        <w:ind w:left="1440" w:hanging="360"/>
      </w:pPr>
      <w:rPr>
        <w:rFonts w:ascii="Courier New" w:hAnsi="Courier New" w:hint="default"/>
      </w:rPr>
    </w:lvl>
    <w:lvl w:ilvl="2" w:tplc="DB2807A6">
      <w:start w:val="1"/>
      <w:numFmt w:val="bullet"/>
      <w:lvlText w:val=""/>
      <w:lvlJc w:val="left"/>
      <w:pPr>
        <w:ind w:left="2160" w:hanging="360"/>
      </w:pPr>
      <w:rPr>
        <w:rFonts w:ascii="Wingdings" w:hAnsi="Wingdings" w:hint="default"/>
      </w:rPr>
    </w:lvl>
    <w:lvl w:ilvl="3" w:tplc="AA96AD5C">
      <w:start w:val="1"/>
      <w:numFmt w:val="bullet"/>
      <w:lvlText w:val=""/>
      <w:lvlJc w:val="left"/>
      <w:pPr>
        <w:ind w:left="2880" w:hanging="360"/>
      </w:pPr>
      <w:rPr>
        <w:rFonts w:ascii="Symbol" w:hAnsi="Symbol" w:hint="default"/>
      </w:rPr>
    </w:lvl>
    <w:lvl w:ilvl="4" w:tplc="3822FEB0">
      <w:start w:val="1"/>
      <w:numFmt w:val="bullet"/>
      <w:lvlText w:val="o"/>
      <w:lvlJc w:val="left"/>
      <w:pPr>
        <w:ind w:left="3600" w:hanging="360"/>
      </w:pPr>
      <w:rPr>
        <w:rFonts w:ascii="Courier New" w:hAnsi="Courier New" w:hint="default"/>
      </w:rPr>
    </w:lvl>
    <w:lvl w:ilvl="5" w:tplc="5A68B7BA">
      <w:start w:val="1"/>
      <w:numFmt w:val="bullet"/>
      <w:lvlText w:val=""/>
      <w:lvlJc w:val="left"/>
      <w:pPr>
        <w:ind w:left="4320" w:hanging="360"/>
      </w:pPr>
      <w:rPr>
        <w:rFonts w:ascii="Wingdings" w:hAnsi="Wingdings" w:hint="default"/>
      </w:rPr>
    </w:lvl>
    <w:lvl w:ilvl="6" w:tplc="D0EEB572">
      <w:start w:val="1"/>
      <w:numFmt w:val="bullet"/>
      <w:lvlText w:val=""/>
      <w:lvlJc w:val="left"/>
      <w:pPr>
        <w:ind w:left="5040" w:hanging="360"/>
      </w:pPr>
      <w:rPr>
        <w:rFonts w:ascii="Symbol" w:hAnsi="Symbol" w:hint="default"/>
      </w:rPr>
    </w:lvl>
    <w:lvl w:ilvl="7" w:tplc="76227070">
      <w:start w:val="1"/>
      <w:numFmt w:val="bullet"/>
      <w:lvlText w:val="o"/>
      <w:lvlJc w:val="left"/>
      <w:pPr>
        <w:ind w:left="5760" w:hanging="360"/>
      </w:pPr>
      <w:rPr>
        <w:rFonts w:ascii="Courier New" w:hAnsi="Courier New" w:hint="default"/>
      </w:rPr>
    </w:lvl>
    <w:lvl w:ilvl="8" w:tplc="E69ED10E">
      <w:start w:val="1"/>
      <w:numFmt w:val="bullet"/>
      <w:lvlText w:val=""/>
      <w:lvlJc w:val="left"/>
      <w:pPr>
        <w:ind w:left="6480" w:hanging="360"/>
      </w:pPr>
      <w:rPr>
        <w:rFonts w:ascii="Wingdings" w:hAnsi="Wingdings" w:hint="default"/>
      </w:rPr>
    </w:lvl>
  </w:abstractNum>
  <w:abstractNum w:abstractNumId="12" w15:restartNumberingAfterBreak="0">
    <w:nsid w:val="42D4C54A"/>
    <w:multiLevelType w:val="hybridMultilevel"/>
    <w:tmpl w:val="FFFFFFFF"/>
    <w:lvl w:ilvl="0" w:tplc="FFFFFFFF">
      <w:start w:val="1"/>
      <w:numFmt w:val="decimal"/>
      <w:lvlText w:val="%1."/>
      <w:lvlJc w:val="left"/>
      <w:pPr>
        <w:ind w:left="720" w:hanging="360"/>
      </w:pPr>
    </w:lvl>
    <w:lvl w:ilvl="1" w:tplc="61940888">
      <w:start w:val="1"/>
      <w:numFmt w:val="lowerLetter"/>
      <w:lvlText w:val="%2."/>
      <w:lvlJc w:val="left"/>
      <w:pPr>
        <w:ind w:left="1440" w:hanging="360"/>
      </w:pPr>
    </w:lvl>
    <w:lvl w:ilvl="2" w:tplc="C78E295E">
      <w:start w:val="1"/>
      <w:numFmt w:val="lowerRoman"/>
      <w:lvlText w:val="%3."/>
      <w:lvlJc w:val="right"/>
      <w:pPr>
        <w:ind w:left="2160" w:hanging="180"/>
      </w:pPr>
    </w:lvl>
    <w:lvl w:ilvl="3" w:tplc="528E8E62">
      <w:start w:val="1"/>
      <w:numFmt w:val="decimal"/>
      <w:lvlText w:val="%4."/>
      <w:lvlJc w:val="left"/>
      <w:pPr>
        <w:ind w:left="2880" w:hanging="360"/>
      </w:pPr>
    </w:lvl>
    <w:lvl w:ilvl="4" w:tplc="C6D6A08E">
      <w:start w:val="1"/>
      <w:numFmt w:val="lowerLetter"/>
      <w:lvlText w:val="%5."/>
      <w:lvlJc w:val="left"/>
      <w:pPr>
        <w:ind w:left="3600" w:hanging="360"/>
      </w:pPr>
    </w:lvl>
    <w:lvl w:ilvl="5" w:tplc="E5D24880">
      <w:start w:val="1"/>
      <w:numFmt w:val="lowerRoman"/>
      <w:lvlText w:val="%6."/>
      <w:lvlJc w:val="right"/>
      <w:pPr>
        <w:ind w:left="4320" w:hanging="180"/>
      </w:pPr>
    </w:lvl>
    <w:lvl w:ilvl="6" w:tplc="B39C1FC6">
      <w:start w:val="1"/>
      <w:numFmt w:val="decimal"/>
      <w:lvlText w:val="%7."/>
      <w:lvlJc w:val="left"/>
      <w:pPr>
        <w:ind w:left="5040" w:hanging="360"/>
      </w:pPr>
    </w:lvl>
    <w:lvl w:ilvl="7" w:tplc="61EC3506">
      <w:start w:val="1"/>
      <w:numFmt w:val="lowerLetter"/>
      <w:lvlText w:val="%8."/>
      <w:lvlJc w:val="left"/>
      <w:pPr>
        <w:ind w:left="5760" w:hanging="360"/>
      </w:pPr>
    </w:lvl>
    <w:lvl w:ilvl="8" w:tplc="931AB194">
      <w:start w:val="1"/>
      <w:numFmt w:val="lowerRoman"/>
      <w:lvlText w:val="%9."/>
      <w:lvlJc w:val="right"/>
      <w:pPr>
        <w:ind w:left="6480" w:hanging="180"/>
      </w:pPr>
    </w:lvl>
  </w:abstractNum>
  <w:abstractNum w:abstractNumId="1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4" w15:restartNumberingAfterBreak="0">
    <w:nsid w:val="4ADD3065"/>
    <w:multiLevelType w:val="hybridMultilevel"/>
    <w:tmpl w:val="FFFFFFFF"/>
    <w:lvl w:ilvl="0" w:tplc="8FF655FC">
      <w:start w:val="1"/>
      <w:numFmt w:val="decimal"/>
      <w:lvlText w:val="%1."/>
      <w:lvlJc w:val="left"/>
      <w:pPr>
        <w:ind w:left="720" w:hanging="360"/>
      </w:pPr>
    </w:lvl>
    <w:lvl w:ilvl="1" w:tplc="1E0045B6">
      <w:start w:val="1"/>
      <w:numFmt w:val="lowerLetter"/>
      <w:lvlText w:val="%2."/>
      <w:lvlJc w:val="left"/>
      <w:pPr>
        <w:ind w:left="1440" w:hanging="360"/>
      </w:pPr>
    </w:lvl>
    <w:lvl w:ilvl="2" w:tplc="BCDE27C8">
      <w:start w:val="1"/>
      <w:numFmt w:val="lowerRoman"/>
      <w:lvlText w:val="%3."/>
      <w:lvlJc w:val="right"/>
      <w:pPr>
        <w:ind w:left="2160" w:hanging="180"/>
      </w:pPr>
    </w:lvl>
    <w:lvl w:ilvl="3" w:tplc="ACF6DC82">
      <w:start w:val="1"/>
      <w:numFmt w:val="decimal"/>
      <w:lvlText w:val="%4."/>
      <w:lvlJc w:val="left"/>
      <w:pPr>
        <w:ind w:left="2880" w:hanging="360"/>
      </w:pPr>
    </w:lvl>
    <w:lvl w:ilvl="4" w:tplc="FF7E19FC">
      <w:start w:val="1"/>
      <w:numFmt w:val="lowerLetter"/>
      <w:lvlText w:val="%5."/>
      <w:lvlJc w:val="left"/>
      <w:pPr>
        <w:ind w:left="3600" w:hanging="360"/>
      </w:pPr>
    </w:lvl>
    <w:lvl w:ilvl="5" w:tplc="28EC2F68">
      <w:start w:val="1"/>
      <w:numFmt w:val="lowerRoman"/>
      <w:lvlText w:val="%6."/>
      <w:lvlJc w:val="right"/>
      <w:pPr>
        <w:ind w:left="4320" w:hanging="180"/>
      </w:pPr>
    </w:lvl>
    <w:lvl w:ilvl="6" w:tplc="10C6D82C">
      <w:start w:val="1"/>
      <w:numFmt w:val="decimal"/>
      <w:lvlText w:val="%7."/>
      <w:lvlJc w:val="left"/>
      <w:pPr>
        <w:ind w:left="5040" w:hanging="360"/>
      </w:pPr>
    </w:lvl>
    <w:lvl w:ilvl="7" w:tplc="A9B64F80">
      <w:start w:val="1"/>
      <w:numFmt w:val="lowerLetter"/>
      <w:lvlText w:val="%8."/>
      <w:lvlJc w:val="left"/>
      <w:pPr>
        <w:ind w:left="5760" w:hanging="360"/>
      </w:pPr>
    </w:lvl>
    <w:lvl w:ilvl="8" w:tplc="505EB73A">
      <w:start w:val="1"/>
      <w:numFmt w:val="lowerRoman"/>
      <w:lvlText w:val="%9."/>
      <w:lvlJc w:val="right"/>
      <w:pPr>
        <w:ind w:left="6480" w:hanging="180"/>
      </w:pPr>
    </w:lvl>
  </w:abstractNum>
  <w:abstractNum w:abstractNumId="1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74B99"/>
    <w:multiLevelType w:val="hybridMultilevel"/>
    <w:tmpl w:val="B7A82648"/>
    <w:lvl w:ilvl="0" w:tplc="F6A83C0A">
      <w:start w:val="1"/>
      <w:numFmt w:val="bullet"/>
      <w:lvlText w:val=""/>
      <w:lvlJc w:val="left"/>
      <w:pPr>
        <w:ind w:left="720" w:hanging="360"/>
      </w:pPr>
      <w:rPr>
        <w:rFonts w:ascii="Symbol" w:hAnsi="Symbol" w:hint="default"/>
      </w:rPr>
    </w:lvl>
    <w:lvl w:ilvl="1" w:tplc="C3088F7A">
      <w:start w:val="1"/>
      <w:numFmt w:val="bullet"/>
      <w:lvlText w:val="o"/>
      <w:lvlJc w:val="left"/>
      <w:pPr>
        <w:ind w:left="1440" w:hanging="360"/>
      </w:pPr>
      <w:rPr>
        <w:rFonts w:ascii="Courier New" w:hAnsi="Courier New" w:hint="default"/>
      </w:rPr>
    </w:lvl>
    <w:lvl w:ilvl="2" w:tplc="A79A3D84">
      <w:start w:val="1"/>
      <w:numFmt w:val="bullet"/>
      <w:lvlText w:val=""/>
      <w:lvlJc w:val="left"/>
      <w:pPr>
        <w:ind w:left="2160" w:hanging="360"/>
      </w:pPr>
      <w:rPr>
        <w:rFonts w:ascii="Wingdings" w:hAnsi="Wingdings" w:hint="default"/>
      </w:rPr>
    </w:lvl>
    <w:lvl w:ilvl="3" w:tplc="5D24BF5A">
      <w:start w:val="1"/>
      <w:numFmt w:val="bullet"/>
      <w:lvlText w:val=""/>
      <w:lvlJc w:val="left"/>
      <w:pPr>
        <w:ind w:left="2880" w:hanging="360"/>
      </w:pPr>
      <w:rPr>
        <w:rFonts w:ascii="Symbol" w:hAnsi="Symbol" w:hint="default"/>
      </w:rPr>
    </w:lvl>
    <w:lvl w:ilvl="4" w:tplc="9BC2ECA6">
      <w:start w:val="1"/>
      <w:numFmt w:val="bullet"/>
      <w:lvlText w:val="o"/>
      <w:lvlJc w:val="left"/>
      <w:pPr>
        <w:ind w:left="3600" w:hanging="360"/>
      </w:pPr>
      <w:rPr>
        <w:rFonts w:ascii="Courier New" w:hAnsi="Courier New" w:hint="default"/>
      </w:rPr>
    </w:lvl>
    <w:lvl w:ilvl="5" w:tplc="23865256">
      <w:start w:val="1"/>
      <w:numFmt w:val="bullet"/>
      <w:lvlText w:val=""/>
      <w:lvlJc w:val="left"/>
      <w:pPr>
        <w:ind w:left="4320" w:hanging="360"/>
      </w:pPr>
      <w:rPr>
        <w:rFonts w:ascii="Wingdings" w:hAnsi="Wingdings" w:hint="default"/>
      </w:rPr>
    </w:lvl>
    <w:lvl w:ilvl="6" w:tplc="0CE61842">
      <w:start w:val="1"/>
      <w:numFmt w:val="bullet"/>
      <w:lvlText w:val=""/>
      <w:lvlJc w:val="left"/>
      <w:pPr>
        <w:ind w:left="5040" w:hanging="360"/>
      </w:pPr>
      <w:rPr>
        <w:rFonts w:ascii="Symbol" w:hAnsi="Symbol" w:hint="default"/>
      </w:rPr>
    </w:lvl>
    <w:lvl w:ilvl="7" w:tplc="FF5AD8E8">
      <w:start w:val="1"/>
      <w:numFmt w:val="bullet"/>
      <w:lvlText w:val="o"/>
      <w:lvlJc w:val="left"/>
      <w:pPr>
        <w:ind w:left="5760" w:hanging="360"/>
      </w:pPr>
      <w:rPr>
        <w:rFonts w:ascii="Courier New" w:hAnsi="Courier New" w:hint="default"/>
      </w:rPr>
    </w:lvl>
    <w:lvl w:ilvl="8" w:tplc="CA420104">
      <w:start w:val="1"/>
      <w:numFmt w:val="bullet"/>
      <w:lvlText w:val=""/>
      <w:lvlJc w:val="left"/>
      <w:pPr>
        <w:ind w:left="6480" w:hanging="360"/>
      </w:pPr>
      <w:rPr>
        <w:rFonts w:ascii="Wingdings" w:hAnsi="Wingdings" w:hint="default"/>
      </w:rPr>
    </w:lvl>
  </w:abstractNum>
  <w:abstractNum w:abstractNumId="17" w15:restartNumberingAfterBreak="0">
    <w:nsid w:val="55F08936"/>
    <w:multiLevelType w:val="hybridMultilevel"/>
    <w:tmpl w:val="FFFFFFFF"/>
    <w:lvl w:ilvl="0" w:tplc="963E4E12">
      <w:start w:val="1"/>
      <w:numFmt w:val="bullet"/>
      <w:lvlText w:val=""/>
      <w:lvlJc w:val="left"/>
      <w:pPr>
        <w:ind w:left="720" w:hanging="360"/>
      </w:pPr>
      <w:rPr>
        <w:rFonts w:ascii="Symbol" w:hAnsi="Symbol" w:hint="default"/>
      </w:rPr>
    </w:lvl>
    <w:lvl w:ilvl="1" w:tplc="881CFB84">
      <w:start w:val="1"/>
      <w:numFmt w:val="bullet"/>
      <w:lvlText w:val="o"/>
      <w:lvlJc w:val="left"/>
      <w:pPr>
        <w:ind w:left="1440" w:hanging="360"/>
      </w:pPr>
      <w:rPr>
        <w:rFonts w:ascii="Courier New" w:hAnsi="Courier New" w:hint="default"/>
      </w:rPr>
    </w:lvl>
    <w:lvl w:ilvl="2" w:tplc="8D56A3E0">
      <w:start w:val="1"/>
      <w:numFmt w:val="bullet"/>
      <w:lvlText w:val=""/>
      <w:lvlJc w:val="left"/>
      <w:pPr>
        <w:ind w:left="2160" w:hanging="360"/>
      </w:pPr>
      <w:rPr>
        <w:rFonts w:ascii="Wingdings" w:hAnsi="Wingdings" w:hint="default"/>
      </w:rPr>
    </w:lvl>
    <w:lvl w:ilvl="3" w:tplc="5D7486C4">
      <w:start w:val="1"/>
      <w:numFmt w:val="bullet"/>
      <w:lvlText w:val=""/>
      <w:lvlJc w:val="left"/>
      <w:pPr>
        <w:ind w:left="2880" w:hanging="360"/>
      </w:pPr>
      <w:rPr>
        <w:rFonts w:ascii="Symbol" w:hAnsi="Symbol" w:hint="default"/>
      </w:rPr>
    </w:lvl>
    <w:lvl w:ilvl="4" w:tplc="8D9C2E94">
      <w:start w:val="1"/>
      <w:numFmt w:val="bullet"/>
      <w:lvlText w:val="o"/>
      <w:lvlJc w:val="left"/>
      <w:pPr>
        <w:ind w:left="3600" w:hanging="360"/>
      </w:pPr>
      <w:rPr>
        <w:rFonts w:ascii="Courier New" w:hAnsi="Courier New" w:hint="default"/>
      </w:rPr>
    </w:lvl>
    <w:lvl w:ilvl="5" w:tplc="399A479A">
      <w:start w:val="1"/>
      <w:numFmt w:val="bullet"/>
      <w:lvlText w:val=""/>
      <w:lvlJc w:val="left"/>
      <w:pPr>
        <w:ind w:left="4320" w:hanging="360"/>
      </w:pPr>
      <w:rPr>
        <w:rFonts w:ascii="Wingdings" w:hAnsi="Wingdings" w:hint="default"/>
      </w:rPr>
    </w:lvl>
    <w:lvl w:ilvl="6" w:tplc="440C022E">
      <w:start w:val="1"/>
      <w:numFmt w:val="bullet"/>
      <w:lvlText w:val=""/>
      <w:lvlJc w:val="left"/>
      <w:pPr>
        <w:ind w:left="5040" w:hanging="360"/>
      </w:pPr>
      <w:rPr>
        <w:rFonts w:ascii="Symbol" w:hAnsi="Symbol" w:hint="default"/>
      </w:rPr>
    </w:lvl>
    <w:lvl w:ilvl="7" w:tplc="0A42E756">
      <w:start w:val="1"/>
      <w:numFmt w:val="bullet"/>
      <w:lvlText w:val="o"/>
      <w:lvlJc w:val="left"/>
      <w:pPr>
        <w:ind w:left="5760" w:hanging="360"/>
      </w:pPr>
      <w:rPr>
        <w:rFonts w:ascii="Courier New" w:hAnsi="Courier New" w:hint="default"/>
      </w:rPr>
    </w:lvl>
    <w:lvl w:ilvl="8" w:tplc="62C22B4A">
      <w:start w:val="1"/>
      <w:numFmt w:val="bullet"/>
      <w:lvlText w:val=""/>
      <w:lvlJc w:val="left"/>
      <w:pPr>
        <w:ind w:left="6480" w:hanging="360"/>
      </w:pPr>
      <w:rPr>
        <w:rFonts w:ascii="Wingdings" w:hAnsi="Wingdings" w:hint="default"/>
      </w:rPr>
    </w:lvl>
  </w:abstractNum>
  <w:abstractNum w:abstractNumId="1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8F3B04"/>
    <w:multiLevelType w:val="hybridMultilevel"/>
    <w:tmpl w:val="BE78A4F8"/>
    <w:styleLink w:val="Numberlist"/>
    <w:lvl w:ilvl="0" w:tplc="E7343640">
      <w:start w:val="1"/>
      <w:numFmt w:val="bullet"/>
      <w:pStyle w:val="ListNumber"/>
      <w:lvlText w:val=""/>
      <w:lvlJc w:val="left"/>
      <w:pPr>
        <w:ind w:left="785" w:hanging="425"/>
      </w:pPr>
      <w:rPr>
        <w:rFonts w:ascii="Symbol" w:hAnsi="Symbol" w:hint="default"/>
        <w:color w:val="auto"/>
      </w:rPr>
    </w:lvl>
    <w:lvl w:ilvl="1" w:tplc="BA4445B4">
      <w:start w:val="1"/>
      <w:numFmt w:val="bullet"/>
      <w:pStyle w:val="ListNumber2"/>
      <w:lvlText w:val="o"/>
      <w:lvlJc w:val="left"/>
      <w:pPr>
        <w:ind w:left="1211" w:hanging="426"/>
      </w:pPr>
      <w:rPr>
        <w:rFonts w:ascii="Courier New" w:hAnsi="Courier New" w:hint="default"/>
      </w:rPr>
    </w:lvl>
    <w:lvl w:ilvl="2" w:tplc="8206A632">
      <w:start w:val="1"/>
      <w:numFmt w:val="lowerRoman"/>
      <w:pStyle w:val="ListNumber3"/>
      <w:lvlText w:val="%3)"/>
      <w:lvlJc w:val="left"/>
      <w:pPr>
        <w:ind w:left="1551" w:hanging="340"/>
      </w:pPr>
    </w:lvl>
    <w:lvl w:ilvl="3" w:tplc="5BBE0C4A">
      <w:start w:val="1"/>
      <w:numFmt w:val="decimal"/>
      <w:lvlText w:val="%4."/>
      <w:lvlJc w:val="left"/>
      <w:pPr>
        <w:ind w:left="1636" w:hanging="1276"/>
      </w:pPr>
    </w:lvl>
    <w:lvl w:ilvl="4" w:tplc="E4D42052">
      <w:start w:val="1"/>
      <w:numFmt w:val="lowerLetter"/>
      <w:lvlText w:val="%5."/>
      <w:lvlJc w:val="left"/>
      <w:pPr>
        <w:ind w:left="927" w:hanging="567"/>
      </w:pPr>
    </w:lvl>
    <w:lvl w:ilvl="5" w:tplc="2C529F72">
      <w:start w:val="1"/>
      <w:numFmt w:val="lowerRoman"/>
      <w:lvlText w:val="%6."/>
      <w:lvlJc w:val="right"/>
      <w:pPr>
        <w:ind w:left="927" w:hanging="567"/>
      </w:pPr>
    </w:lvl>
    <w:lvl w:ilvl="6" w:tplc="4864A1DC">
      <w:start w:val="1"/>
      <w:numFmt w:val="decimal"/>
      <w:lvlText w:val="%7."/>
      <w:lvlJc w:val="left"/>
      <w:pPr>
        <w:ind w:left="927" w:hanging="567"/>
      </w:pPr>
    </w:lvl>
    <w:lvl w:ilvl="7" w:tplc="247037B8">
      <w:start w:val="1"/>
      <w:numFmt w:val="lowerLetter"/>
      <w:lvlText w:val="%8."/>
      <w:lvlJc w:val="left"/>
      <w:pPr>
        <w:ind w:left="927" w:hanging="567"/>
      </w:pPr>
    </w:lvl>
    <w:lvl w:ilvl="8" w:tplc="F11C8A3E">
      <w:start w:val="1"/>
      <w:numFmt w:val="lowerRoman"/>
      <w:lvlText w:val="%9."/>
      <w:lvlJc w:val="right"/>
      <w:pPr>
        <w:ind w:left="927" w:hanging="567"/>
      </w:pPr>
    </w:lvl>
  </w:abstractNum>
  <w:abstractNum w:abstractNumId="21" w15:restartNumberingAfterBreak="0">
    <w:nsid w:val="5F623B57"/>
    <w:multiLevelType w:val="hybridMultilevel"/>
    <w:tmpl w:val="FFFFFFFF"/>
    <w:lvl w:ilvl="0" w:tplc="4992FE44">
      <w:start w:val="1"/>
      <w:numFmt w:val="bullet"/>
      <w:lvlText w:val=""/>
      <w:lvlJc w:val="left"/>
      <w:pPr>
        <w:ind w:left="720" w:hanging="360"/>
      </w:pPr>
      <w:rPr>
        <w:rFonts w:ascii="Symbol" w:hAnsi="Symbol" w:hint="default"/>
      </w:rPr>
    </w:lvl>
    <w:lvl w:ilvl="1" w:tplc="2528BB0E">
      <w:start w:val="1"/>
      <w:numFmt w:val="bullet"/>
      <w:lvlText w:val="o"/>
      <w:lvlJc w:val="left"/>
      <w:pPr>
        <w:ind w:left="1440" w:hanging="360"/>
      </w:pPr>
      <w:rPr>
        <w:rFonts w:ascii="Courier New" w:hAnsi="Courier New" w:hint="default"/>
      </w:rPr>
    </w:lvl>
    <w:lvl w:ilvl="2" w:tplc="98325858">
      <w:start w:val="1"/>
      <w:numFmt w:val="bullet"/>
      <w:lvlText w:val=""/>
      <w:lvlJc w:val="left"/>
      <w:pPr>
        <w:ind w:left="2160" w:hanging="360"/>
      </w:pPr>
      <w:rPr>
        <w:rFonts w:ascii="Wingdings" w:hAnsi="Wingdings" w:hint="default"/>
      </w:rPr>
    </w:lvl>
    <w:lvl w:ilvl="3" w:tplc="B390460E">
      <w:start w:val="1"/>
      <w:numFmt w:val="bullet"/>
      <w:lvlText w:val=""/>
      <w:lvlJc w:val="left"/>
      <w:pPr>
        <w:ind w:left="2880" w:hanging="360"/>
      </w:pPr>
      <w:rPr>
        <w:rFonts w:ascii="Symbol" w:hAnsi="Symbol" w:hint="default"/>
      </w:rPr>
    </w:lvl>
    <w:lvl w:ilvl="4" w:tplc="D3FCEC96">
      <w:start w:val="1"/>
      <w:numFmt w:val="bullet"/>
      <w:lvlText w:val="o"/>
      <w:lvlJc w:val="left"/>
      <w:pPr>
        <w:ind w:left="3600" w:hanging="360"/>
      </w:pPr>
      <w:rPr>
        <w:rFonts w:ascii="Courier New" w:hAnsi="Courier New" w:hint="default"/>
      </w:rPr>
    </w:lvl>
    <w:lvl w:ilvl="5" w:tplc="BF14D840">
      <w:start w:val="1"/>
      <w:numFmt w:val="bullet"/>
      <w:lvlText w:val=""/>
      <w:lvlJc w:val="left"/>
      <w:pPr>
        <w:ind w:left="4320" w:hanging="360"/>
      </w:pPr>
      <w:rPr>
        <w:rFonts w:ascii="Wingdings" w:hAnsi="Wingdings" w:hint="default"/>
      </w:rPr>
    </w:lvl>
    <w:lvl w:ilvl="6" w:tplc="B7D27BCA">
      <w:start w:val="1"/>
      <w:numFmt w:val="bullet"/>
      <w:lvlText w:val=""/>
      <w:lvlJc w:val="left"/>
      <w:pPr>
        <w:ind w:left="5040" w:hanging="360"/>
      </w:pPr>
      <w:rPr>
        <w:rFonts w:ascii="Symbol" w:hAnsi="Symbol" w:hint="default"/>
      </w:rPr>
    </w:lvl>
    <w:lvl w:ilvl="7" w:tplc="58A04EC2">
      <w:start w:val="1"/>
      <w:numFmt w:val="bullet"/>
      <w:lvlText w:val="o"/>
      <w:lvlJc w:val="left"/>
      <w:pPr>
        <w:ind w:left="5760" w:hanging="360"/>
      </w:pPr>
      <w:rPr>
        <w:rFonts w:ascii="Courier New" w:hAnsi="Courier New" w:hint="default"/>
      </w:rPr>
    </w:lvl>
    <w:lvl w:ilvl="8" w:tplc="CFE078AA">
      <w:start w:val="1"/>
      <w:numFmt w:val="bullet"/>
      <w:lvlText w:val=""/>
      <w:lvlJc w:val="left"/>
      <w:pPr>
        <w:ind w:left="6480" w:hanging="360"/>
      </w:pPr>
      <w:rPr>
        <w:rFonts w:ascii="Wingdings" w:hAnsi="Wingdings" w:hint="default"/>
      </w:rPr>
    </w:lvl>
  </w:abstractNum>
  <w:abstractNum w:abstractNumId="22" w15:restartNumberingAfterBreak="0">
    <w:nsid w:val="6636AFCB"/>
    <w:multiLevelType w:val="hybridMultilevel"/>
    <w:tmpl w:val="FFFFFFFF"/>
    <w:lvl w:ilvl="0" w:tplc="1F6831EE">
      <w:start w:val="1"/>
      <w:numFmt w:val="bullet"/>
      <w:lvlText w:val=""/>
      <w:lvlJc w:val="left"/>
      <w:pPr>
        <w:ind w:left="720" w:hanging="360"/>
      </w:pPr>
      <w:rPr>
        <w:rFonts w:ascii="Symbol" w:hAnsi="Symbol" w:hint="default"/>
      </w:rPr>
    </w:lvl>
    <w:lvl w:ilvl="1" w:tplc="D6DC6836">
      <w:start w:val="1"/>
      <w:numFmt w:val="bullet"/>
      <w:lvlText w:val="o"/>
      <w:lvlJc w:val="left"/>
      <w:pPr>
        <w:ind w:left="1440" w:hanging="360"/>
      </w:pPr>
      <w:rPr>
        <w:rFonts w:ascii="Courier New" w:hAnsi="Courier New" w:hint="default"/>
      </w:rPr>
    </w:lvl>
    <w:lvl w:ilvl="2" w:tplc="42702D62">
      <w:start w:val="1"/>
      <w:numFmt w:val="bullet"/>
      <w:lvlText w:val=""/>
      <w:lvlJc w:val="left"/>
      <w:pPr>
        <w:ind w:left="2160" w:hanging="360"/>
      </w:pPr>
      <w:rPr>
        <w:rFonts w:ascii="Wingdings" w:hAnsi="Wingdings" w:hint="default"/>
      </w:rPr>
    </w:lvl>
    <w:lvl w:ilvl="3" w:tplc="7E90FBDE">
      <w:start w:val="1"/>
      <w:numFmt w:val="bullet"/>
      <w:lvlText w:val=""/>
      <w:lvlJc w:val="left"/>
      <w:pPr>
        <w:ind w:left="2880" w:hanging="360"/>
      </w:pPr>
      <w:rPr>
        <w:rFonts w:ascii="Symbol" w:hAnsi="Symbol" w:hint="default"/>
      </w:rPr>
    </w:lvl>
    <w:lvl w:ilvl="4" w:tplc="2916A338">
      <w:start w:val="1"/>
      <w:numFmt w:val="bullet"/>
      <w:lvlText w:val="o"/>
      <w:lvlJc w:val="left"/>
      <w:pPr>
        <w:ind w:left="3600" w:hanging="360"/>
      </w:pPr>
      <w:rPr>
        <w:rFonts w:ascii="Courier New" w:hAnsi="Courier New" w:hint="default"/>
      </w:rPr>
    </w:lvl>
    <w:lvl w:ilvl="5" w:tplc="0BF8AEB2">
      <w:start w:val="1"/>
      <w:numFmt w:val="bullet"/>
      <w:lvlText w:val=""/>
      <w:lvlJc w:val="left"/>
      <w:pPr>
        <w:ind w:left="4320" w:hanging="360"/>
      </w:pPr>
      <w:rPr>
        <w:rFonts w:ascii="Wingdings" w:hAnsi="Wingdings" w:hint="default"/>
      </w:rPr>
    </w:lvl>
    <w:lvl w:ilvl="6" w:tplc="66E6FEEA">
      <w:start w:val="1"/>
      <w:numFmt w:val="bullet"/>
      <w:lvlText w:val=""/>
      <w:lvlJc w:val="left"/>
      <w:pPr>
        <w:ind w:left="5040" w:hanging="360"/>
      </w:pPr>
      <w:rPr>
        <w:rFonts w:ascii="Symbol" w:hAnsi="Symbol" w:hint="default"/>
      </w:rPr>
    </w:lvl>
    <w:lvl w:ilvl="7" w:tplc="16DC72A0">
      <w:start w:val="1"/>
      <w:numFmt w:val="bullet"/>
      <w:lvlText w:val="o"/>
      <w:lvlJc w:val="left"/>
      <w:pPr>
        <w:ind w:left="5760" w:hanging="360"/>
      </w:pPr>
      <w:rPr>
        <w:rFonts w:ascii="Courier New" w:hAnsi="Courier New" w:hint="default"/>
      </w:rPr>
    </w:lvl>
    <w:lvl w:ilvl="8" w:tplc="05B083DE">
      <w:start w:val="1"/>
      <w:numFmt w:val="bullet"/>
      <w:lvlText w:val=""/>
      <w:lvlJc w:val="left"/>
      <w:pPr>
        <w:ind w:left="6480" w:hanging="360"/>
      </w:pPr>
      <w:rPr>
        <w:rFonts w:ascii="Wingdings" w:hAnsi="Wingdings" w:hint="default"/>
      </w:rPr>
    </w:lvl>
  </w:abstractNum>
  <w:abstractNum w:abstractNumId="23" w15:restartNumberingAfterBreak="0">
    <w:nsid w:val="6BF020E4"/>
    <w:multiLevelType w:val="hybridMultilevel"/>
    <w:tmpl w:val="164A72D8"/>
    <w:lvl w:ilvl="0" w:tplc="098827F8">
      <w:start w:val="1"/>
      <w:numFmt w:val="bullet"/>
      <w:lvlText w:val=""/>
      <w:lvlJc w:val="left"/>
      <w:pPr>
        <w:ind w:left="720" w:hanging="360"/>
      </w:pPr>
      <w:rPr>
        <w:rFonts w:ascii="Symbol" w:hAnsi="Symbol" w:hint="default"/>
      </w:rPr>
    </w:lvl>
    <w:lvl w:ilvl="1" w:tplc="DA0ECA12">
      <w:start w:val="1"/>
      <w:numFmt w:val="bullet"/>
      <w:lvlText w:val="o"/>
      <w:lvlJc w:val="left"/>
      <w:pPr>
        <w:ind w:left="1440" w:hanging="360"/>
      </w:pPr>
      <w:rPr>
        <w:rFonts w:ascii="Courier New" w:hAnsi="Courier New" w:cs="Courier New" w:hint="default"/>
      </w:rPr>
    </w:lvl>
    <w:lvl w:ilvl="2" w:tplc="8FCC2E10">
      <w:start w:val="1"/>
      <w:numFmt w:val="bullet"/>
      <w:lvlText w:val=""/>
      <w:lvlJc w:val="left"/>
      <w:pPr>
        <w:ind w:left="2160" w:hanging="360"/>
      </w:pPr>
      <w:rPr>
        <w:rFonts w:ascii="Wingdings" w:hAnsi="Wingdings" w:hint="default"/>
      </w:rPr>
    </w:lvl>
    <w:lvl w:ilvl="3" w:tplc="66868BF4" w:tentative="1">
      <w:start w:val="1"/>
      <w:numFmt w:val="bullet"/>
      <w:lvlText w:val=""/>
      <w:lvlJc w:val="left"/>
      <w:pPr>
        <w:ind w:left="2880" w:hanging="360"/>
      </w:pPr>
      <w:rPr>
        <w:rFonts w:ascii="Symbol" w:hAnsi="Symbol" w:hint="default"/>
      </w:rPr>
    </w:lvl>
    <w:lvl w:ilvl="4" w:tplc="820A450C" w:tentative="1">
      <w:start w:val="1"/>
      <w:numFmt w:val="bullet"/>
      <w:lvlText w:val="o"/>
      <w:lvlJc w:val="left"/>
      <w:pPr>
        <w:ind w:left="3600" w:hanging="360"/>
      </w:pPr>
      <w:rPr>
        <w:rFonts w:ascii="Courier New" w:hAnsi="Courier New" w:cs="Courier New" w:hint="default"/>
      </w:rPr>
    </w:lvl>
    <w:lvl w:ilvl="5" w:tplc="4A12E898" w:tentative="1">
      <w:start w:val="1"/>
      <w:numFmt w:val="bullet"/>
      <w:lvlText w:val=""/>
      <w:lvlJc w:val="left"/>
      <w:pPr>
        <w:ind w:left="4320" w:hanging="360"/>
      </w:pPr>
      <w:rPr>
        <w:rFonts w:ascii="Wingdings" w:hAnsi="Wingdings" w:hint="default"/>
      </w:rPr>
    </w:lvl>
    <w:lvl w:ilvl="6" w:tplc="A3D0CA3A" w:tentative="1">
      <w:start w:val="1"/>
      <w:numFmt w:val="bullet"/>
      <w:lvlText w:val=""/>
      <w:lvlJc w:val="left"/>
      <w:pPr>
        <w:ind w:left="5040" w:hanging="360"/>
      </w:pPr>
      <w:rPr>
        <w:rFonts w:ascii="Symbol" w:hAnsi="Symbol" w:hint="default"/>
      </w:rPr>
    </w:lvl>
    <w:lvl w:ilvl="7" w:tplc="AF92EAF6" w:tentative="1">
      <w:start w:val="1"/>
      <w:numFmt w:val="bullet"/>
      <w:lvlText w:val="o"/>
      <w:lvlJc w:val="left"/>
      <w:pPr>
        <w:ind w:left="5760" w:hanging="360"/>
      </w:pPr>
      <w:rPr>
        <w:rFonts w:ascii="Courier New" w:hAnsi="Courier New" w:cs="Courier New" w:hint="default"/>
      </w:rPr>
    </w:lvl>
    <w:lvl w:ilvl="8" w:tplc="8190D54A" w:tentative="1">
      <w:start w:val="1"/>
      <w:numFmt w:val="bullet"/>
      <w:lvlText w:val=""/>
      <w:lvlJc w:val="left"/>
      <w:pPr>
        <w:ind w:left="6480" w:hanging="360"/>
      </w:pPr>
      <w:rPr>
        <w:rFonts w:ascii="Wingdings" w:hAnsi="Wingdings" w:hint="default"/>
      </w:rPr>
    </w:lvl>
  </w:abstractNum>
  <w:abstractNum w:abstractNumId="24" w15:restartNumberingAfterBreak="0">
    <w:nsid w:val="6C8C10A1"/>
    <w:multiLevelType w:val="multilevel"/>
    <w:tmpl w:val="BE78A4F8"/>
    <w:numStyleLink w:val="Numberlist"/>
  </w:abstractNum>
  <w:abstractNum w:abstractNumId="25" w15:restartNumberingAfterBreak="0">
    <w:nsid w:val="6E453229"/>
    <w:multiLevelType w:val="hybridMultilevel"/>
    <w:tmpl w:val="3ECA51A6"/>
    <w:lvl w:ilvl="0" w:tplc="A9A22078">
      <w:start w:val="1"/>
      <w:numFmt w:val="decimal"/>
      <w:lvlText w:val="%1."/>
      <w:lvlJc w:val="left"/>
      <w:pPr>
        <w:ind w:left="720" w:hanging="360"/>
      </w:pPr>
    </w:lvl>
    <w:lvl w:ilvl="1" w:tplc="2134309A">
      <w:start w:val="1"/>
      <w:numFmt w:val="lowerLetter"/>
      <w:lvlText w:val="%2."/>
      <w:lvlJc w:val="left"/>
      <w:pPr>
        <w:ind w:left="1440" w:hanging="360"/>
      </w:pPr>
    </w:lvl>
    <w:lvl w:ilvl="2" w:tplc="FEB4C7A0">
      <w:start w:val="1"/>
      <w:numFmt w:val="lowerRoman"/>
      <w:lvlText w:val="%3."/>
      <w:lvlJc w:val="right"/>
      <w:pPr>
        <w:ind w:left="2160" w:hanging="180"/>
      </w:pPr>
    </w:lvl>
    <w:lvl w:ilvl="3" w:tplc="E2464C96">
      <w:start w:val="1"/>
      <w:numFmt w:val="decimal"/>
      <w:lvlText w:val="%4."/>
      <w:lvlJc w:val="left"/>
      <w:pPr>
        <w:ind w:left="2880" w:hanging="360"/>
      </w:pPr>
    </w:lvl>
    <w:lvl w:ilvl="4" w:tplc="A302EE26">
      <w:start w:val="1"/>
      <w:numFmt w:val="lowerLetter"/>
      <w:lvlText w:val="%5."/>
      <w:lvlJc w:val="left"/>
      <w:pPr>
        <w:ind w:left="3600" w:hanging="360"/>
      </w:pPr>
    </w:lvl>
    <w:lvl w:ilvl="5" w:tplc="BA166E1E">
      <w:start w:val="1"/>
      <w:numFmt w:val="lowerRoman"/>
      <w:lvlText w:val="%6."/>
      <w:lvlJc w:val="right"/>
      <w:pPr>
        <w:ind w:left="4320" w:hanging="180"/>
      </w:pPr>
    </w:lvl>
    <w:lvl w:ilvl="6" w:tplc="10341946">
      <w:start w:val="1"/>
      <w:numFmt w:val="decimal"/>
      <w:lvlText w:val="%7."/>
      <w:lvlJc w:val="left"/>
      <w:pPr>
        <w:ind w:left="5040" w:hanging="360"/>
      </w:pPr>
    </w:lvl>
    <w:lvl w:ilvl="7" w:tplc="E0F6CC0A">
      <w:start w:val="1"/>
      <w:numFmt w:val="lowerLetter"/>
      <w:lvlText w:val="%8."/>
      <w:lvlJc w:val="left"/>
      <w:pPr>
        <w:ind w:left="5760" w:hanging="360"/>
      </w:pPr>
    </w:lvl>
    <w:lvl w:ilvl="8" w:tplc="22E64EE0">
      <w:start w:val="1"/>
      <w:numFmt w:val="lowerRoman"/>
      <w:lvlText w:val="%9."/>
      <w:lvlJc w:val="right"/>
      <w:pPr>
        <w:ind w:left="6480" w:hanging="180"/>
      </w:pPr>
    </w:lvl>
  </w:abstractNum>
  <w:abstractNum w:abstractNumId="26" w15:restartNumberingAfterBreak="0">
    <w:nsid w:val="733934B7"/>
    <w:multiLevelType w:val="multilevel"/>
    <w:tmpl w:val="A0241B28"/>
    <w:numStyleLink w:val="List1"/>
  </w:abstractNum>
  <w:num w:numId="1" w16cid:durableId="1722434057">
    <w:abstractNumId w:val="16"/>
  </w:num>
  <w:num w:numId="2" w16cid:durableId="1313483660">
    <w:abstractNumId w:val="22"/>
  </w:num>
  <w:num w:numId="3" w16cid:durableId="1390836837">
    <w:abstractNumId w:val="0"/>
  </w:num>
  <w:num w:numId="4" w16cid:durableId="325016032">
    <w:abstractNumId w:val="10"/>
  </w:num>
  <w:num w:numId="5" w16cid:durableId="1698196581">
    <w:abstractNumId w:val="8"/>
  </w:num>
  <w:num w:numId="6" w16cid:durableId="240993432">
    <w:abstractNumId w:val="21"/>
  </w:num>
  <w:num w:numId="7" w16cid:durableId="1030570143">
    <w:abstractNumId w:val="11"/>
  </w:num>
  <w:num w:numId="8" w16cid:durableId="766776868">
    <w:abstractNumId w:val="3"/>
  </w:num>
  <w:num w:numId="9" w16cid:durableId="839546993">
    <w:abstractNumId w:val="17"/>
  </w:num>
  <w:num w:numId="10" w16cid:durableId="1404451164">
    <w:abstractNumId w:val="13"/>
  </w:num>
  <w:num w:numId="11" w16cid:durableId="1666787524">
    <w:abstractNumId w:val="5"/>
  </w:num>
  <w:num w:numId="12" w16cid:durableId="381057155">
    <w:abstractNumId w:val="19"/>
  </w:num>
  <w:num w:numId="13" w16cid:durableId="1639215797">
    <w:abstractNumId w:val="20"/>
  </w:num>
  <w:num w:numId="14" w16cid:durableId="1643265712">
    <w:abstractNumId w:val="7"/>
  </w:num>
  <w:num w:numId="15" w16cid:durableId="793717093">
    <w:abstractNumId w:val="9"/>
    <w:lvlOverride w:ilvl="0">
      <w:lvl w:ilvl="0">
        <w:start w:val="1"/>
        <w:numFmt w:val="decimal"/>
        <w:lvlText w:val="%1"/>
        <w:lvlJc w:val="left"/>
        <w:pPr>
          <w:ind w:left="720" w:hanging="720"/>
        </w:pPr>
      </w:lvl>
    </w:lvlOverride>
    <w:lvlOverride w:ilvl="1">
      <w:lvl w:ilvl="1">
        <w:start w:val="1"/>
        <w:numFmt w:val="decimal"/>
        <w:lvlText w:val="%1.%2"/>
        <w:lvlJc w:val="left"/>
        <w:pPr>
          <w:ind w:left="964" w:hanging="964"/>
        </w:pPr>
      </w:lvl>
    </w:lvlOverride>
  </w:num>
  <w:num w:numId="16" w16cid:durableId="1314063411">
    <w:abstractNumId w:val="18"/>
  </w:num>
  <w:num w:numId="17" w16cid:durableId="780877881">
    <w:abstractNumId w:val="24"/>
  </w:num>
  <w:num w:numId="18" w16cid:durableId="1015498190">
    <w:abstractNumId w:val="26"/>
  </w:num>
  <w:num w:numId="19" w16cid:durableId="626202022">
    <w:abstractNumId w:val="15"/>
  </w:num>
  <w:num w:numId="20" w16cid:durableId="866915021">
    <w:abstractNumId w:val="2"/>
  </w:num>
  <w:num w:numId="21" w16cid:durableId="725688286">
    <w:abstractNumId w:val="23"/>
  </w:num>
  <w:num w:numId="22" w16cid:durableId="1435634025">
    <w:abstractNumId w:val="6"/>
  </w:num>
  <w:num w:numId="23" w16cid:durableId="416832444">
    <w:abstractNumId w:val="1"/>
  </w:num>
  <w:num w:numId="24" w16cid:durableId="1668750918">
    <w:abstractNumId w:val="25"/>
  </w:num>
  <w:num w:numId="25" w16cid:durableId="201405481">
    <w:abstractNumId w:val="12"/>
  </w:num>
  <w:num w:numId="26" w16cid:durableId="1393893352">
    <w:abstractNumId w:val="14"/>
  </w:num>
  <w:num w:numId="27" w16cid:durableId="511262110">
    <w:abstractNumId w:val="9"/>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964" w:hanging="964"/>
        </w:pPr>
      </w:lvl>
    </w:lvlOverride>
    <w:lvlOverride w:ilvl="2">
      <w:lvl w:ilvl="2">
        <w:start w:val="1"/>
        <w:numFmt w:val="decimal"/>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1383598865">
    <w:abstractNumId w:val="9"/>
    <w:lvlOverride w:ilvl="0">
      <w:startOverride w:val="2"/>
      <w:lvl w:ilvl="0">
        <w:start w:val="2"/>
        <w:numFmt w:val="decimal"/>
        <w:lvlText w:val="%1"/>
        <w:lvlJc w:val="left"/>
        <w:pPr>
          <w:ind w:left="720" w:hanging="720"/>
        </w:pPr>
      </w:lvl>
    </w:lvlOverride>
    <w:lvlOverride w:ilvl="1">
      <w:startOverride w:val="1"/>
      <w:lvl w:ilvl="1">
        <w:start w:val="1"/>
        <w:numFmt w:val="decimal"/>
        <w:lvlText w:val="%1.%2"/>
        <w:lvlJc w:val="left"/>
        <w:pPr>
          <w:ind w:left="964" w:hanging="964"/>
        </w:pPr>
      </w:lvl>
    </w:lvlOverride>
  </w:num>
  <w:num w:numId="29" w16cid:durableId="1304775104">
    <w:abstractNumId w:val="9"/>
    <w:lvlOverride w:ilvl="0">
      <w:startOverride w:val="2"/>
      <w:lvl w:ilvl="0">
        <w:start w:val="2"/>
        <w:numFmt w:val="decimal"/>
        <w:lvlText w:val="%1"/>
        <w:lvlJc w:val="left"/>
        <w:pPr>
          <w:ind w:left="720" w:hanging="720"/>
        </w:pPr>
      </w:lvl>
    </w:lvlOverride>
    <w:lvlOverride w:ilvl="1">
      <w:startOverride w:val="1"/>
      <w:lvl w:ilvl="1">
        <w:start w:val="1"/>
        <w:numFmt w:val="decimal"/>
        <w:lvlText w:val="%1.%2"/>
        <w:lvlJc w:val="left"/>
        <w:pPr>
          <w:ind w:left="964" w:hanging="964"/>
        </w:pPr>
      </w:lvl>
    </w:lvlOverride>
  </w:num>
  <w:num w:numId="30" w16cid:durableId="1295790298">
    <w:abstractNumId w:val="9"/>
    <w:lvlOverride w:ilvl="0">
      <w:startOverride w:val="2"/>
      <w:lvl w:ilvl="0">
        <w:start w:val="2"/>
        <w:numFmt w:val="decimal"/>
        <w:lvlText w:val="%1"/>
        <w:lvlJc w:val="left"/>
        <w:pPr>
          <w:ind w:left="720" w:hanging="720"/>
        </w:pPr>
      </w:lvl>
    </w:lvlOverride>
    <w:lvlOverride w:ilvl="1">
      <w:startOverride w:val="1"/>
      <w:lvl w:ilvl="1">
        <w:start w:val="1"/>
        <w:numFmt w:val="decimal"/>
        <w:lvlText w:val="%1.%2"/>
        <w:lvlJc w:val="left"/>
        <w:pPr>
          <w:ind w:left="964" w:hanging="964"/>
        </w:pPr>
      </w:lvl>
    </w:lvlOverride>
  </w:num>
  <w:num w:numId="31" w16cid:durableId="864708705">
    <w:abstractNumId w:val="9"/>
    <w:lvlOverride w:ilvl="0">
      <w:startOverride w:val="2"/>
      <w:lvl w:ilvl="0">
        <w:start w:val="2"/>
        <w:numFmt w:val="decimal"/>
        <w:lvlText w:val="%1"/>
        <w:lvlJc w:val="left"/>
        <w:pPr>
          <w:ind w:left="720" w:hanging="720"/>
        </w:pPr>
      </w:lvl>
    </w:lvlOverride>
    <w:lvlOverride w:ilvl="1">
      <w:startOverride w:val="1"/>
      <w:lvl w:ilvl="1">
        <w:start w:val="1"/>
        <w:numFmt w:val="decimal"/>
        <w:lvlText w:val="%1.%2"/>
        <w:lvlJc w:val="left"/>
        <w:pPr>
          <w:ind w:left="964" w:hanging="964"/>
        </w:pPr>
      </w:lvl>
    </w:lvlOverride>
  </w:num>
  <w:num w:numId="32" w16cid:durableId="1602102559">
    <w:abstractNumId w:val="9"/>
    <w:lvlOverride w:ilvl="0">
      <w:lvl w:ilvl="0">
        <w:start w:val="1"/>
        <w:numFmt w:val="decimal"/>
        <w:lvlText w:val="%1"/>
        <w:lvlJc w:val="left"/>
        <w:pPr>
          <w:ind w:left="720" w:hanging="720"/>
        </w:pPr>
      </w:lvl>
    </w:lvlOverride>
    <w:lvlOverride w:ilvl="1">
      <w:lvl w:ilvl="1">
        <w:start w:val="1"/>
        <w:numFmt w:val="decimal"/>
        <w:lvlText w:val="%1.%2"/>
        <w:lvlJc w:val="left"/>
        <w:pPr>
          <w:ind w:left="964" w:hanging="964"/>
        </w:pPr>
      </w:lvl>
    </w:lvlOverride>
  </w:num>
  <w:num w:numId="33" w16cid:durableId="2105834323">
    <w:abstractNumId w:val="9"/>
    <w:lvlOverride w:ilvl="0">
      <w:lvl w:ilvl="0">
        <w:start w:val="1"/>
        <w:numFmt w:val="decimal"/>
        <w:lvlText w:val="%1"/>
        <w:lvlJc w:val="left"/>
        <w:pPr>
          <w:ind w:left="720" w:hanging="720"/>
        </w:pPr>
      </w:lvl>
    </w:lvlOverride>
    <w:lvlOverride w:ilvl="1">
      <w:lvl w:ilvl="1">
        <w:start w:val="1"/>
        <w:numFmt w:val="decimal"/>
        <w:lvlText w:val="%1.%2"/>
        <w:lvlJc w:val="left"/>
        <w:pPr>
          <w:ind w:left="964" w:hanging="964"/>
        </w:pPr>
      </w:lvl>
    </w:lvlOverride>
  </w:num>
  <w:num w:numId="34" w16cid:durableId="1261912829">
    <w:abstractNumId w:val="4"/>
  </w:num>
  <w:num w:numId="35" w16cid:durableId="193790663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58792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4314472">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5821448">
    <w:abstractNumId w:val="4"/>
  </w:num>
  <w:num w:numId="39" w16cid:durableId="16324429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86"/>
    <w:rsid w:val="00001130"/>
    <w:rsid w:val="0000713A"/>
    <w:rsid w:val="00013262"/>
    <w:rsid w:val="00015684"/>
    <w:rsid w:val="00020DFC"/>
    <w:rsid w:val="000238D3"/>
    <w:rsid w:val="0002397A"/>
    <w:rsid w:val="000278DD"/>
    <w:rsid w:val="00027F44"/>
    <w:rsid w:val="0004108B"/>
    <w:rsid w:val="0004219A"/>
    <w:rsid w:val="000440CA"/>
    <w:rsid w:val="00044FB6"/>
    <w:rsid w:val="00047BCB"/>
    <w:rsid w:val="00062B22"/>
    <w:rsid w:val="0006399C"/>
    <w:rsid w:val="00063BE4"/>
    <w:rsid w:val="00071EE8"/>
    <w:rsid w:val="000742CB"/>
    <w:rsid w:val="00075438"/>
    <w:rsid w:val="000846CC"/>
    <w:rsid w:val="000869AB"/>
    <w:rsid w:val="0009083F"/>
    <w:rsid w:val="00092A1F"/>
    <w:rsid w:val="00097FA8"/>
    <w:rsid w:val="000A2BB1"/>
    <w:rsid w:val="000A53D3"/>
    <w:rsid w:val="000A7AAF"/>
    <w:rsid w:val="000B1DDB"/>
    <w:rsid w:val="000B34A4"/>
    <w:rsid w:val="000D40C0"/>
    <w:rsid w:val="000D6A4C"/>
    <w:rsid w:val="000E26BF"/>
    <w:rsid w:val="000E29E4"/>
    <w:rsid w:val="000E5722"/>
    <w:rsid w:val="000F0A78"/>
    <w:rsid w:val="000F1E1F"/>
    <w:rsid w:val="000F2194"/>
    <w:rsid w:val="000F2823"/>
    <w:rsid w:val="000F6CFE"/>
    <w:rsid w:val="0010228B"/>
    <w:rsid w:val="00103803"/>
    <w:rsid w:val="00107522"/>
    <w:rsid w:val="00112694"/>
    <w:rsid w:val="00113E53"/>
    <w:rsid w:val="00114002"/>
    <w:rsid w:val="00117B41"/>
    <w:rsid w:val="00123033"/>
    <w:rsid w:val="00124CCF"/>
    <w:rsid w:val="001275F3"/>
    <w:rsid w:val="00147B2E"/>
    <w:rsid w:val="0017210E"/>
    <w:rsid w:val="00174B9E"/>
    <w:rsid w:val="00176594"/>
    <w:rsid w:val="00176640"/>
    <w:rsid w:val="0017699C"/>
    <w:rsid w:val="001773DC"/>
    <w:rsid w:val="00184E04"/>
    <w:rsid w:val="00186596"/>
    <w:rsid w:val="00187FD2"/>
    <w:rsid w:val="001944A3"/>
    <w:rsid w:val="00195629"/>
    <w:rsid w:val="0019589D"/>
    <w:rsid w:val="001A6259"/>
    <w:rsid w:val="001A670E"/>
    <w:rsid w:val="001B1D60"/>
    <w:rsid w:val="001B5907"/>
    <w:rsid w:val="001B63CA"/>
    <w:rsid w:val="001C1DD3"/>
    <w:rsid w:val="001C1FC1"/>
    <w:rsid w:val="001C5368"/>
    <w:rsid w:val="001D31AF"/>
    <w:rsid w:val="001D5F7F"/>
    <w:rsid w:val="001E17CC"/>
    <w:rsid w:val="001E21ED"/>
    <w:rsid w:val="001E7541"/>
    <w:rsid w:val="001F1463"/>
    <w:rsid w:val="001F517F"/>
    <w:rsid w:val="00201F73"/>
    <w:rsid w:val="00203982"/>
    <w:rsid w:val="00203A3A"/>
    <w:rsid w:val="0020684A"/>
    <w:rsid w:val="00206A44"/>
    <w:rsid w:val="00214B1A"/>
    <w:rsid w:val="00220347"/>
    <w:rsid w:val="00221B08"/>
    <w:rsid w:val="00222137"/>
    <w:rsid w:val="002278D2"/>
    <w:rsid w:val="00232E1F"/>
    <w:rsid w:val="00233055"/>
    <w:rsid w:val="00234655"/>
    <w:rsid w:val="00240E1C"/>
    <w:rsid w:val="00244957"/>
    <w:rsid w:val="00255885"/>
    <w:rsid w:val="00260257"/>
    <w:rsid w:val="0026430A"/>
    <w:rsid w:val="0026781C"/>
    <w:rsid w:val="00271D19"/>
    <w:rsid w:val="00281BB6"/>
    <w:rsid w:val="00284C5A"/>
    <w:rsid w:val="00284D14"/>
    <w:rsid w:val="00286307"/>
    <w:rsid w:val="00290EAF"/>
    <w:rsid w:val="002B0721"/>
    <w:rsid w:val="002B0AB8"/>
    <w:rsid w:val="002B7291"/>
    <w:rsid w:val="002B7743"/>
    <w:rsid w:val="002C3B74"/>
    <w:rsid w:val="002C3F55"/>
    <w:rsid w:val="002D2BF1"/>
    <w:rsid w:val="002D5B0A"/>
    <w:rsid w:val="002D6D4A"/>
    <w:rsid w:val="002E6455"/>
    <w:rsid w:val="003024BD"/>
    <w:rsid w:val="00306166"/>
    <w:rsid w:val="003214B3"/>
    <w:rsid w:val="00324BD0"/>
    <w:rsid w:val="00327AC3"/>
    <w:rsid w:val="003321EA"/>
    <w:rsid w:val="00333CCF"/>
    <w:rsid w:val="0033522D"/>
    <w:rsid w:val="00337D9E"/>
    <w:rsid w:val="00341111"/>
    <w:rsid w:val="00350A5C"/>
    <w:rsid w:val="003537AD"/>
    <w:rsid w:val="0035658B"/>
    <w:rsid w:val="003623E5"/>
    <w:rsid w:val="00364A4A"/>
    <w:rsid w:val="0036791A"/>
    <w:rsid w:val="00374B7D"/>
    <w:rsid w:val="00382477"/>
    <w:rsid w:val="00387449"/>
    <w:rsid w:val="003A2D84"/>
    <w:rsid w:val="003B59A3"/>
    <w:rsid w:val="003C5FC0"/>
    <w:rsid w:val="003D2DA1"/>
    <w:rsid w:val="003E0CF7"/>
    <w:rsid w:val="003E5E66"/>
    <w:rsid w:val="003E77A2"/>
    <w:rsid w:val="00410B27"/>
    <w:rsid w:val="004119A5"/>
    <w:rsid w:val="00424847"/>
    <w:rsid w:val="00424C16"/>
    <w:rsid w:val="00426EA6"/>
    <w:rsid w:val="00440E16"/>
    <w:rsid w:val="004535E5"/>
    <w:rsid w:val="00453F02"/>
    <w:rsid w:val="00461957"/>
    <w:rsid w:val="00463D41"/>
    <w:rsid w:val="004651AE"/>
    <w:rsid w:val="00473C34"/>
    <w:rsid w:val="00477648"/>
    <w:rsid w:val="00481D91"/>
    <w:rsid w:val="0048584B"/>
    <w:rsid w:val="00491E5F"/>
    <w:rsid w:val="004A3724"/>
    <w:rsid w:val="004B1D54"/>
    <w:rsid w:val="004C2AF0"/>
    <w:rsid w:val="004C4A73"/>
    <w:rsid w:val="004C66C4"/>
    <w:rsid w:val="004D4D6F"/>
    <w:rsid w:val="004E5B2C"/>
    <w:rsid w:val="004E7E22"/>
    <w:rsid w:val="004F0500"/>
    <w:rsid w:val="004F5713"/>
    <w:rsid w:val="004F7579"/>
    <w:rsid w:val="00503F49"/>
    <w:rsid w:val="005043EB"/>
    <w:rsid w:val="00504913"/>
    <w:rsid w:val="00517A68"/>
    <w:rsid w:val="005202FC"/>
    <w:rsid w:val="005235A9"/>
    <w:rsid w:val="00525CAC"/>
    <w:rsid w:val="00533B70"/>
    <w:rsid w:val="00536D16"/>
    <w:rsid w:val="00537D51"/>
    <w:rsid w:val="005530E5"/>
    <w:rsid w:val="00555CD5"/>
    <w:rsid w:val="00556DB8"/>
    <w:rsid w:val="005607AA"/>
    <w:rsid w:val="00565CC5"/>
    <w:rsid w:val="0057476A"/>
    <w:rsid w:val="0057742E"/>
    <w:rsid w:val="005863A2"/>
    <w:rsid w:val="00592EC5"/>
    <w:rsid w:val="005A7193"/>
    <w:rsid w:val="005B0039"/>
    <w:rsid w:val="005C11D1"/>
    <w:rsid w:val="005D3790"/>
    <w:rsid w:val="005D47FB"/>
    <w:rsid w:val="005E25BD"/>
    <w:rsid w:val="005E3CE3"/>
    <w:rsid w:val="005F3130"/>
    <w:rsid w:val="005F31EC"/>
    <w:rsid w:val="005F6A59"/>
    <w:rsid w:val="00605B6D"/>
    <w:rsid w:val="006138D1"/>
    <w:rsid w:val="0063100A"/>
    <w:rsid w:val="0063693F"/>
    <w:rsid w:val="00643C78"/>
    <w:rsid w:val="006440A9"/>
    <w:rsid w:val="00644240"/>
    <w:rsid w:val="00645461"/>
    <w:rsid w:val="006478ED"/>
    <w:rsid w:val="0066042D"/>
    <w:rsid w:val="00661AC3"/>
    <w:rsid w:val="00671841"/>
    <w:rsid w:val="00675B0D"/>
    <w:rsid w:val="0068069D"/>
    <w:rsid w:val="00680970"/>
    <w:rsid w:val="00682464"/>
    <w:rsid w:val="00685ED0"/>
    <w:rsid w:val="00686266"/>
    <w:rsid w:val="006876C8"/>
    <w:rsid w:val="006879E4"/>
    <w:rsid w:val="00687A96"/>
    <w:rsid w:val="0069149E"/>
    <w:rsid w:val="006A109C"/>
    <w:rsid w:val="006A3182"/>
    <w:rsid w:val="006A6787"/>
    <w:rsid w:val="006B222A"/>
    <w:rsid w:val="006B2DAA"/>
    <w:rsid w:val="006B34F6"/>
    <w:rsid w:val="006B6411"/>
    <w:rsid w:val="006C0291"/>
    <w:rsid w:val="006C16FF"/>
    <w:rsid w:val="006C261F"/>
    <w:rsid w:val="006C4A16"/>
    <w:rsid w:val="006C5145"/>
    <w:rsid w:val="006D1DF0"/>
    <w:rsid w:val="006D5C5E"/>
    <w:rsid w:val="006E4106"/>
    <w:rsid w:val="006E53A8"/>
    <w:rsid w:val="006F065B"/>
    <w:rsid w:val="006F5CD8"/>
    <w:rsid w:val="007045B6"/>
    <w:rsid w:val="007151BF"/>
    <w:rsid w:val="007174E7"/>
    <w:rsid w:val="00731686"/>
    <w:rsid w:val="007341EA"/>
    <w:rsid w:val="00734D2E"/>
    <w:rsid w:val="007402EB"/>
    <w:rsid w:val="00740428"/>
    <w:rsid w:val="007411B6"/>
    <w:rsid w:val="0074296C"/>
    <w:rsid w:val="00746CC3"/>
    <w:rsid w:val="00750E18"/>
    <w:rsid w:val="00753C20"/>
    <w:rsid w:val="00753CD6"/>
    <w:rsid w:val="00755B9A"/>
    <w:rsid w:val="00760C73"/>
    <w:rsid w:val="00761FCF"/>
    <w:rsid w:val="00762B26"/>
    <w:rsid w:val="00763849"/>
    <w:rsid w:val="00764D6A"/>
    <w:rsid w:val="00773056"/>
    <w:rsid w:val="007808C3"/>
    <w:rsid w:val="00783885"/>
    <w:rsid w:val="00785FEC"/>
    <w:rsid w:val="00790CD2"/>
    <w:rsid w:val="007A2830"/>
    <w:rsid w:val="007A5510"/>
    <w:rsid w:val="007A5D10"/>
    <w:rsid w:val="007B1743"/>
    <w:rsid w:val="007B2D27"/>
    <w:rsid w:val="007C199E"/>
    <w:rsid w:val="007C358A"/>
    <w:rsid w:val="007C361D"/>
    <w:rsid w:val="007C4F81"/>
    <w:rsid w:val="007D2456"/>
    <w:rsid w:val="007D2F7F"/>
    <w:rsid w:val="007D40DC"/>
    <w:rsid w:val="007D4B4F"/>
    <w:rsid w:val="007D5423"/>
    <w:rsid w:val="007E0827"/>
    <w:rsid w:val="007E30F5"/>
    <w:rsid w:val="007E5CF2"/>
    <w:rsid w:val="007E6BB3"/>
    <w:rsid w:val="007E76B3"/>
    <w:rsid w:val="007F213B"/>
    <w:rsid w:val="007F29B3"/>
    <w:rsid w:val="007F7F92"/>
    <w:rsid w:val="00801822"/>
    <w:rsid w:val="0081798E"/>
    <w:rsid w:val="00820F04"/>
    <w:rsid w:val="00821568"/>
    <w:rsid w:val="00831085"/>
    <w:rsid w:val="00834465"/>
    <w:rsid w:val="00837981"/>
    <w:rsid w:val="00840120"/>
    <w:rsid w:val="00841BFD"/>
    <w:rsid w:val="008543DB"/>
    <w:rsid w:val="0085649C"/>
    <w:rsid w:val="0085705A"/>
    <w:rsid w:val="008649AB"/>
    <w:rsid w:val="00865E9A"/>
    <w:rsid w:val="0086766F"/>
    <w:rsid w:val="00873DF4"/>
    <w:rsid w:val="00884B89"/>
    <w:rsid w:val="00884E3A"/>
    <w:rsid w:val="008861EB"/>
    <w:rsid w:val="00892CC1"/>
    <w:rsid w:val="008965B5"/>
    <w:rsid w:val="008977DE"/>
    <w:rsid w:val="008A0EE3"/>
    <w:rsid w:val="008B4E90"/>
    <w:rsid w:val="008B76D7"/>
    <w:rsid w:val="008C68C0"/>
    <w:rsid w:val="008C6948"/>
    <w:rsid w:val="008D2A7E"/>
    <w:rsid w:val="008D3DFD"/>
    <w:rsid w:val="008D619B"/>
    <w:rsid w:val="008E2272"/>
    <w:rsid w:val="008E2377"/>
    <w:rsid w:val="008F165E"/>
    <w:rsid w:val="008F6683"/>
    <w:rsid w:val="00904B60"/>
    <w:rsid w:val="00907F2C"/>
    <w:rsid w:val="00915357"/>
    <w:rsid w:val="0091542C"/>
    <w:rsid w:val="00923CC9"/>
    <w:rsid w:val="009342CE"/>
    <w:rsid w:val="009363CB"/>
    <w:rsid w:val="0093673C"/>
    <w:rsid w:val="00946A37"/>
    <w:rsid w:val="00947FBF"/>
    <w:rsid w:val="00956B19"/>
    <w:rsid w:val="009602D0"/>
    <w:rsid w:val="00962A2A"/>
    <w:rsid w:val="009678D4"/>
    <w:rsid w:val="009810BC"/>
    <w:rsid w:val="0098193C"/>
    <w:rsid w:val="009825D9"/>
    <w:rsid w:val="009841F7"/>
    <w:rsid w:val="009848C2"/>
    <w:rsid w:val="009A1846"/>
    <w:rsid w:val="009A5197"/>
    <w:rsid w:val="009A76F9"/>
    <w:rsid w:val="009B5394"/>
    <w:rsid w:val="009B73F2"/>
    <w:rsid w:val="009C087B"/>
    <w:rsid w:val="009C2214"/>
    <w:rsid w:val="009CA7DE"/>
    <w:rsid w:val="009D1929"/>
    <w:rsid w:val="009D1FA1"/>
    <w:rsid w:val="009D4841"/>
    <w:rsid w:val="009D5007"/>
    <w:rsid w:val="009D66A7"/>
    <w:rsid w:val="009E060C"/>
    <w:rsid w:val="009E2823"/>
    <w:rsid w:val="009E3D49"/>
    <w:rsid w:val="009F45FB"/>
    <w:rsid w:val="00A07392"/>
    <w:rsid w:val="00A07CD6"/>
    <w:rsid w:val="00A32152"/>
    <w:rsid w:val="00A32CE8"/>
    <w:rsid w:val="00A35C44"/>
    <w:rsid w:val="00A40EC6"/>
    <w:rsid w:val="00A4349F"/>
    <w:rsid w:val="00A44C4A"/>
    <w:rsid w:val="00A532E4"/>
    <w:rsid w:val="00A57735"/>
    <w:rsid w:val="00A71028"/>
    <w:rsid w:val="00A75E0F"/>
    <w:rsid w:val="00A84FE4"/>
    <w:rsid w:val="00A854AB"/>
    <w:rsid w:val="00A91307"/>
    <w:rsid w:val="00A924C1"/>
    <w:rsid w:val="00A964F3"/>
    <w:rsid w:val="00AB1C00"/>
    <w:rsid w:val="00AB2925"/>
    <w:rsid w:val="00AB5508"/>
    <w:rsid w:val="00AB7911"/>
    <w:rsid w:val="00AC35F5"/>
    <w:rsid w:val="00AC364D"/>
    <w:rsid w:val="00AE4237"/>
    <w:rsid w:val="00AF4651"/>
    <w:rsid w:val="00B027D9"/>
    <w:rsid w:val="00B02B9B"/>
    <w:rsid w:val="00B06D2F"/>
    <w:rsid w:val="00B102D1"/>
    <w:rsid w:val="00B23076"/>
    <w:rsid w:val="00B25816"/>
    <w:rsid w:val="00B27492"/>
    <w:rsid w:val="00B3744A"/>
    <w:rsid w:val="00B431F1"/>
    <w:rsid w:val="00B4493C"/>
    <w:rsid w:val="00B47BFE"/>
    <w:rsid w:val="00B569D7"/>
    <w:rsid w:val="00B5740E"/>
    <w:rsid w:val="00B60C0F"/>
    <w:rsid w:val="00B620FE"/>
    <w:rsid w:val="00B63A9F"/>
    <w:rsid w:val="00B7055F"/>
    <w:rsid w:val="00B73FF9"/>
    <w:rsid w:val="00B75884"/>
    <w:rsid w:val="00B76596"/>
    <w:rsid w:val="00B84354"/>
    <w:rsid w:val="00B84485"/>
    <w:rsid w:val="00B861B4"/>
    <w:rsid w:val="00B8745D"/>
    <w:rsid w:val="00B90AEF"/>
    <w:rsid w:val="00B97E61"/>
    <w:rsid w:val="00BA4395"/>
    <w:rsid w:val="00BB498C"/>
    <w:rsid w:val="00BB59A6"/>
    <w:rsid w:val="00BB5C82"/>
    <w:rsid w:val="00BB6861"/>
    <w:rsid w:val="00BC1097"/>
    <w:rsid w:val="00BC1114"/>
    <w:rsid w:val="00BC1616"/>
    <w:rsid w:val="00BC447A"/>
    <w:rsid w:val="00BD786B"/>
    <w:rsid w:val="00BE1277"/>
    <w:rsid w:val="00BE292C"/>
    <w:rsid w:val="00BE561A"/>
    <w:rsid w:val="00BF4E55"/>
    <w:rsid w:val="00C003C5"/>
    <w:rsid w:val="00C01EA0"/>
    <w:rsid w:val="00C02519"/>
    <w:rsid w:val="00C02F9C"/>
    <w:rsid w:val="00C05884"/>
    <w:rsid w:val="00C12ACE"/>
    <w:rsid w:val="00C13950"/>
    <w:rsid w:val="00C144F5"/>
    <w:rsid w:val="00C33269"/>
    <w:rsid w:val="00C33358"/>
    <w:rsid w:val="00C35892"/>
    <w:rsid w:val="00C416EC"/>
    <w:rsid w:val="00C431C7"/>
    <w:rsid w:val="00C440B2"/>
    <w:rsid w:val="00C44BC7"/>
    <w:rsid w:val="00C45E41"/>
    <w:rsid w:val="00C52C6B"/>
    <w:rsid w:val="00C60058"/>
    <w:rsid w:val="00C65228"/>
    <w:rsid w:val="00C85C62"/>
    <w:rsid w:val="00C87AAD"/>
    <w:rsid w:val="00C92CA8"/>
    <w:rsid w:val="00C944BA"/>
    <w:rsid w:val="00C9451C"/>
    <w:rsid w:val="00CA1E0E"/>
    <w:rsid w:val="00CB1896"/>
    <w:rsid w:val="00CB2439"/>
    <w:rsid w:val="00CB735E"/>
    <w:rsid w:val="00CC0E5E"/>
    <w:rsid w:val="00CC184D"/>
    <w:rsid w:val="00CC6504"/>
    <w:rsid w:val="00CC7C8A"/>
    <w:rsid w:val="00CD2EC6"/>
    <w:rsid w:val="00CD2F33"/>
    <w:rsid w:val="00CF4F5E"/>
    <w:rsid w:val="00D07F7D"/>
    <w:rsid w:val="00D100F7"/>
    <w:rsid w:val="00D1032B"/>
    <w:rsid w:val="00D1637A"/>
    <w:rsid w:val="00D20B6D"/>
    <w:rsid w:val="00D241BF"/>
    <w:rsid w:val="00D377F4"/>
    <w:rsid w:val="00D37CCB"/>
    <w:rsid w:val="00D40325"/>
    <w:rsid w:val="00D464F4"/>
    <w:rsid w:val="00D47121"/>
    <w:rsid w:val="00D50029"/>
    <w:rsid w:val="00D51752"/>
    <w:rsid w:val="00D526C3"/>
    <w:rsid w:val="00D53C79"/>
    <w:rsid w:val="00D554ED"/>
    <w:rsid w:val="00D60B6F"/>
    <w:rsid w:val="00D63BF0"/>
    <w:rsid w:val="00D64040"/>
    <w:rsid w:val="00D64DDC"/>
    <w:rsid w:val="00D65CD1"/>
    <w:rsid w:val="00D6626A"/>
    <w:rsid w:val="00D85B60"/>
    <w:rsid w:val="00D86640"/>
    <w:rsid w:val="00D930E3"/>
    <w:rsid w:val="00D96AF3"/>
    <w:rsid w:val="00D96E4B"/>
    <w:rsid w:val="00DA596C"/>
    <w:rsid w:val="00DA71B8"/>
    <w:rsid w:val="00DB538D"/>
    <w:rsid w:val="00DC24A3"/>
    <w:rsid w:val="00DD764F"/>
    <w:rsid w:val="00DE0AAE"/>
    <w:rsid w:val="00DE20B9"/>
    <w:rsid w:val="00DF01A1"/>
    <w:rsid w:val="00DF0D92"/>
    <w:rsid w:val="00DF1DD1"/>
    <w:rsid w:val="00DF5279"/>
    <w:rsid w:val="00DF5A6D"/>
    <w:rsid w:val="00E0007F"/>
    <w:rsid w:val="00E02687"/>
    <w:rsid w:val="00E02943"/>
    <w:rsid w:val="00E0366F"/>
    <w:rsid w:val="00E04571"/>
    <w:rsid w:val="00E04721"/>
    <w:rsid w:val="00E05A5A"/>
    <w:rsid w:val="00E20810"/>
    <w:rsid w:val="00E304A4"/>
    <w:rsid w:val="00E317FF"/>
    <w:rsid w:val="00E377B0"/>
    <w:rsid w:val="00E40C27"/>
    <w:rsid w:val="00E40D84"/>
    <w:rsid w:val="00E40F63"/>
    <w:rsid w:val="00E4612B"/>
    <w:rsid w:val="00E5620C"/>
    <w:rsid w:val="00E56464"/>
    <w:rsid w:val="00E64C64"/>
    <w:rsid w:val="00E66329"/>
    <w:rsid w:val="00E7194D"/>
    <w:rsid w:val="00E73893"/>
    <w:rsid w:val="00E779DB"/>
    <w:rsid w:val="00E82A5E"/>
    <w:rsid w:val="00E84849"/>
    <w:rsid w:val="00E873FA"/>
    <w:rsid w:val="00E87954"/>
    <w:rsid w:val="00E91D72"/>
    <w:rsid w:val="00E95738"/>
    <w:rsid w:val="00EA0E13"/>
    <w:rsid w:val="00EB1A43"/>
    <w:rsid w:val="00EC40D3"/>
    <w:rsid w:val="00EC48D9"/>
    <w:rsid w:val="00EC6B5B"/>
    <w:rsid w:val="00ED5D3E"/>
    <w:rsid w:val="00ED7588"/>
    <w:rsid w:val="00EE4833"/>
    <w:rsid w:val="00EE5015"/>
    <w:rsid w:val="00EE58D6"/>
    <w:rsid w:val="00EE5A94"/>
    <w:rsid w:val="00EF55CC"/>
    <w:rsid w:val="00F03F40"/>
    <w:rsid w:val="00F04729"/>
    <w:rsid w:val="00F067B5"/>
    <w:rsid w:val="00F12E5D"/>
    <w:rsid w:val="00F1646F"/>
    <w:rsid w:val="00F20267"/>
    <w:rsid w:val="00F228A0"/>
    <w:rsid w:val="00F2682E"/>
    <w:rsid w:val="00F32747"/>
    <w:rsid w:val="00F362F0"/>
    <w:rsid w:val="00F375ED"/>
    <w:rsid w:val="00F43FED"/>
    <w:rsid w:val="00F448C4"/>
    <w:rsid w:val="00F514FC"/>
    <w:rsid w:val="00F563FA"/>
    <w:rsid w:val="00F617F1"/>
    <w:rsid w:val="00F64D8F"/>
    <w:rsid w:val="00F731FE"/>
    <w:rsid w:val="00F74E89"/>
    <w:rsid w:val="00F82F27"/>
    <w:rsid w:val="00F83FCC"/>
    <w:rsid w:val="00F90058"/>
    <w:rsid w:val="00F93A7C"/>
    <w:rsid w:val="00F971B5"/>
    <w:rsid w:val="00F97A39"/>
    <w:rsid w:val="00FA2743"/>
    <w:rsid w:val="00FA2E95"/>
    <w:rsid w:val="00FA3B27"/>
    <w:rsid w:val="00FA4631"/>
    <w:rsid w:val="00FB228F"/>
    <w:rsid w:val="00FB684A"/>
    <w:rsid w:val="00FC0B39"/>
    <w:rsid w:val="00FC1759"/>
    <w:rsid w:val="00FC3252"/>
    <w:rsid w:val="00FD2A0E"/>
    <w:rsid w:val="00FE0EFC"/>
    <w:rsid w:val="00FE274C"/>
    <w:rsid w:val="00FE64BC"/>
    <w:rsid w:val="00FE6F16"/>
    <w:rsid w:val="00FF47EC"/>
    <w:rsid w:val="00FF4FC8"/>
    <w:rsid w:val="01189164"/>
    <w:rsid w:val="0134905F"/>
    <w:rsid w:val="013A2AF0"/>
    <w:rsid w:val="0162C60C"/>
    <w:rsid w:val="01814BC0"/>
    <w:rsid w:val="01849403"/>
    <w:rsid w:val="01DB0590"/>
    <w:rsid w:val="01EB02E6"/>
    <w:rsid w:val="021F91F1"/>
    <w:rsid w:val="0226BC5E"/>
    <w:rsid w:val="02487501"/>
    <w:rsid w:val="0251DC70"/>
    <w:rsid w:val="026C185D"/>
    <w:rsid w:val="027008D8"/>
    <w:rsid w:val="02DBF552"/>
    <w:rsid w:val="02EAEC25"/>
    <w:rsid w:val="03583B00"/>
    <w:rsid w:val="037AD467"/>
    <w:rsid w:val="039E7628"/>
    <w:rsid w:val="03BAD613"/>
    <w:rsid w:val="03E588D2"/>
    <w:rsid w:val="03E9B0C2"/>
    <w:rsid w:val="03F532BA"/>
    <w:rsid w:val="044B90E3"/>
    <w:rsid w:val="0474FF12"/>
    <w:rsid w:val="0488A046"/>
    <w:rsid w:val="04B57D8A"/>
    <w:rsid w:val="04C348F9"/>
    <w:rsid w:val="04D20993"/>
    <w:rsid w:val="04D33A7C"/>
    <w:rsid w:val="04E7D350"/>
    <w:rsid w:val="05327959"/>
    <w:rsid w:val="05410777"/>
    <w:rsid w:val="054EBDAA"/>
    <w:rsid w:val="05900BE0"/>
    <w:rsid w:val="059F3E17"/>
    <w:rsid w:val="05C48C83"/>
    <w:rsid w:val="05C6B891"/>
    <w:rsid w:val="05F6D413"/>
    <w:rsid w:val="06126F8B"/>
    <w:rsid w:val="0659C2C5"/>
    <w:rsid w:val="0689F20D"/>
    <w:rsid w:val="068E3922"/>
    <w:rsid w:val="06974A72"/>
    <w:rsid w:val="06A3433D"/>
    <w:rsid w:val="06AC3F4E"/>
    <w:rsid w:val="06AF5D13"/>
    <w:rsid w:val="06C33CE9"/>
    <w:rsid w:val="06CA853D"/>
    <w:rsid w:val="06D94285"/>
    <w:rsid w:val="06DA294F"/>
    <w:rsid w:val="072068AD"/>
    <w:rsid w:val="07459832"/>
    <w:rsid w:val="0746313F"/>
    <w:rsid w:val="07609800"/>
    <w:rsid w:val="076227E1"/>
    <w:rsid w:val="0785D4AF"/>
    <w:rsid w:val="078BFD2B"/>
    <w:rsid w:val="07CCE0CE"/>
    <w:rsid w:val="07E547DC"/>
    <w:rsid w:val="07EA0635"/>
    <w:rsid w:val="07EBC19E"/>
    <w:rsid w:val="082DED19"/>
    <w:rsid w:val="0867238A"/>
    <w:rsid w:val="086B0154"/>
    <w:rsid w:val="088C2E5C"/>
    <w:rsid w:val="08A88A8B"/>
    <w:rsid w:val="08ECB972"/>
    <w:rsid w:val="090B60CD"/>
    <w:rsid w:val="090F7B89"/>
    <w:rsid w:val="0913CE7D"/>
    <w:rsid w:val="0976C850"/>
    <w:rsid w:val="09E0FDF8"/>
    <w:rsid w:val="09E6FDD5"/>
    <w:rsid w:val="09EBF190"/>
    <w:rsid w:val="0A24C582"/>
    <w:rsid w:val="0A423261"/>
    <w:rsid w:val="0A5A3C81"/>
    <w:rsid w:val="0A785437"/>
    <w:rsid w:val="0AD0F7FD"/>
    <w:rsid w:val="0AE186AE"/>
    <w:rsid w:val="0B2514E0"/>
    <w:rsid w:val="0B2D33E8"/>
    <w:rsid w:val="0B2ED517"/>
    <w:rsid w:val="0B38E9B1"/>
    <w:rsid w:val="0B3DC20E"/>
    <w:rsid w:val="0B83C4D8"/>
    <w:rsid w:val="0B8AC386"/>
    <w:rsid w:val="0B95DBA2"/>
    <w:rsid w:val="0BA34DB3"/>
    <w:rsid w:val="0BB306E1"/>
    <w:rsid w:val="0BC0637F"/>
    <w:rsid w:val="0BC3E3B1"/>
    <w:rsid w:val="0BDD96CD"/>
    <w:rsid w:val="0C11B6D8"/>
    <w:rsid w:val="0C131910"/>
    <w:rsid w:val="0C6635CB"/>
    <w:rsid w:val="0C7AA90C"/>
    <w:rsid w:val="0CB9F51B"/>
    <w:rsid w:val="0CD31D78"/>
    <w:rsid w:val="0CDCCE81"/>
    <w:rsid w:val="0D4E41CD"/>
    <w:rsid w:val="0D56EC01"/>
    <w:rsid w:val="0D87FB71"/>
    <w:rsid w:val="0DA5B410"/>
    <w:rsid w:val="0E1CCFD8"/>
    <w:rsid w:val="0E53412D"/>
    <w:rsid w:val="0F2C46C3"/>
    <w:rsid w:val="0F487690"/>
    <w:rsid w:val="0F5CB2C4"/>
    <w:rsid w:val="0FAA9ECE"/>
    <w:rsid w:val="0FC032EA"/>
    <w:rsid w:val="0FC1F12D"/>
    <w:rsid w:val="0FFAED67"/>
    <w:rsid w:val="101ACA21"/>
    <w:rsid w:val="1045BFB8"/>
    <w:rsid w:val="1089ABFA"/>
    <w:rsid w:val="10924E38"/>
    <w:rsid w:val="10B2D103"/>
    <w:rsid w:val="114F5C03"/>
    <w:rsid w:val="1154684D"/>
    <w:rsid w:val="11B58235"/>
    <w:rsid w:val="11C394EC"/>
    <w:rsid w:val="11D1A793"/>
    <w:rsid w:val="11DC9D13"/>
    <w:rsid w:val="11F114A1"/>
    <w:rsid w:val="11FCFBEF"/>
    <w:rsid w:val="12158AB1"/>
    <w:rsid w:val="1220215F"/>
    <w:rsid w:val="12257C5B"/>
    <w:rsid w:val="1225848E"/>
    <w:rsid w:val="123C78D0"/>
    <w:rsid w:val="124FABBD"/>
    <w:rsid w:val="1260C041"/>
    <w:rsid w:val="12912EC2"/>
    <w:rsid w:val="12A7CEF8"/>
    <w:rsid w:val="12AABDCF"/>
    <w:rsid w:val="12D098D4"/>
    <w:rsid w:val="12D3F590"/>
    <w:rsid w:val="12E5D2AD"/>
    <w:rsid w:val="13544754"/>
    <w:rsid w:val="13620CB8"/>
    <w:rsid w:val="13715400"/>
    <w:rsid w:val="13822D51"/>
    <w:rsid w:val="139F0F78"/>
    <w:rsid w:val="13D55E54"/>
    <w:rsid w:val="141B2842"/>
    <w:rsid w:val="141CF992"/>
    <w:rsid w:val="144317F0"/>
    <w:rsid w:val="14DE6B31"/>
    <w:rsid w:val="152885DB"/>
    <w:rsid w:val="152DA2B9"/>
    <w:rsid w:val="157FC514"/>
    <w:rsid w:val="16145B48"/>
    <w:rsid w:val="1672D37B"/>
    <w:rsid w:val="16968E58"/>
    <w:rsid w:val="170DF014"/>
    <w:rsid w:val="1728A2EF"/>
    <w:rsid w:val="1729FEF9"/>
    <w:rsid w:val="179601B0"/>
    <w:rsid w:val="17B2FC89"/>
    <w:rsid w:val="17BBA86B"/>
    <w:rsid w:val="17BDC94D"/>
    <w:rsid w:val="17CBAEC2"/>
    <w:rsid w:val="17DB9240"/>
    <w:rsid w:val="17E47BAA"/>
    <w:rsid w:val="17F71DE4"/>
    <w:rsid w:val="184FDAD6"/>
    <w:rsid w:val="18579413"/>
    <w:rsid w:val="186CB85B"/>
    <w:rsid w:val="187799C0"/>
    <w:rsid w:val="187C0E0F"/>
    <w:rsid w:val="1886D7EB"/>
    <w:rsid w:val="18A7747F"/>
    <w:rsid w:val="18AF7501"/>
    <w:rsid w:val="18BE81EB"/>
    <w:rsid w:val="18CF37B4"/>
    <w:rsid w:val="18E7DCB1"/>
    <w:rsid w:val="1927B0A0"/>
    <w:rsid w:val="194CC047"/>
    <w:rsid w:val="1958CA6B"/>
    <w:rsid w:val="1983BA56"/>
    <w:rsid w:val="19B05357"/>
    <w:rsid w:val="19E1B859"/>
    <w:rsid w:val="19E4B062"/>
    <w:rsid w:val="19F8CD16"/>
    <w:rsid w:val="1A5B51DD"/>
    <w:rsid w:val="1A8AE297"/>
    <w:rsid w:val="1A9F6F1A"/>
    <w:rsid w:val="1AC04EC2"/>
    <w:rsid w:val="1AC3253A"/>
    <w:rsid w:val="1AF4283E"/>
    <w:rsid w:val="1AF50263"/>
    <w:rsid w:val="1B0B0101"/>
    <w:rsid w:val="1B0B28D6"/>
    <w:rsid w:val="1B1ABE03"/>
    <w:rsid w:val="1B1F0363"/>
    <w:rsid w:val="1B22422C"/>
    <w:rsid w:val="1B3BBF66"/>
    <w:rsid w:val="1B61FC0E"/>
    <w:rsid w:val="1B752624"/>
    <w:rsid w:val="1BEA3A95"/>
    <w:rsid w:val="1C5CF008"/>
    <w:rsid w:val="1C8CAA8B"/>
    <w:rsid w:val="1CB8E96D"/>
    <w:rsid w:val="1CC47F16"/>
    <w:rsid w:val="1CEB9291"/>
    <w:rsid w:val="1D0B00C1"/>
    <w:rsid w:val="1D60B41E"/>
    <w:rsid w:val="1D8B9438"/>
    <w:rsid w:val="1D9F359C"/>
    <w:rsid w:val="1DC066C7"/>
    <w:rsid w:val="1DD2BA95"/>
    <w:rsid w:val="1DE9F1F1"/>
    <w:rsid w:val="1E04F100"/>
    <w:rsid w:val="1E32B9C1"/>
    <w:rsid w:val="1E59BC5D"/>
    <w:rsid w:val="1E6C251A"/>
    <w:rsid w:val="1E9A5D1F"/>
    <w:rsid w:val="1F0BCC96"/>
    <w:rsid w:val="1F14E5A8"/>
    <w:rsid w:val="1F285115"/>
    <w:rsid w:val="1F365895"/>
    <w:rsid w:val="1F8B20D3"/>
    <w:rsid w:val="1F8D4DA3"/>
    <w:rsid w:val="1FBB86F9"/>
    <w:rsid w:val="1FCB5A06"/>
    <w:rsid w:val="1FDBA9D8"/>
    <w:rsid w:val="201E1DBC"/>
    <w:rsid w:val="2038A668"/>
    <w:rsid w:val="203EB7E6"/>
    <w:rsid w:val="207B4445"/>
    <w:rsid w:val="20FF6A8E"/>
    <w:rsid w:val="21099BAC"/>
    <w:rsid w:val="210A7C34"/>
    <w:rsid w:val="210CE639"/>
    <w:rsid w:val="21134D34"/>
    <w:rsid w:val="212FBF05"/>
    <w:rsid w:val="217A6A5A"/>
    <w:rsid w:val="2191BB73"/>
    <w:rsid w:val="21972494"/>
    <w:rsid w:val="2199716E"/>
    <w:rsid w:val="21F64924"/>
    <w:rsid w:val="21F8BB7F"/>
    <w:rsid w:val="220E423F"/>
    <w:rsid w:val="226647BF"/>
    <w:rsid w:val="227A3ADC"/>
    <w:rsid w:val="228EBABB"/>
    <w:rsid w:val="22975B2C"/>
    <w:rsid w:val="22A6E358"/>
    <w:rsid w:val="22B93187"/>
    <w:rsid w:val="22FE4BB6"/>
    <w:rsid w:val="230DCAF2"/>
    <w:rsid w:val="230FC059"/>
    <w:rsid w:val="2354C559"/>
    <w:rsid w:val="2354F463"/>
    <w:rsid w:val="2375BEC5"/>
    <w:rsid w:val="23872AC8"/>
    <w:rsid w:val="238C7F83"/>
    <w:rsid w:val="239E13DE"/>
    <w:rsid w:val="23A0A126"/>
    <w:rsid w:val="240DA89C"/>
    <w:rsid w:val="247D02C7"/>
    <w:rsid w:val="24B8F2B7"/>
    <w:rsid w:val="25179C29"/>
    <w:rsid w:val="2536D24A"/>
    <w:rsid w:val="25644953"/>
    <w:rsid w:val="25DDE2E5"/>
    <w:rsid w:val="26031E13"/>
    <w:rsid w:val="2645928A"/>
    <w:rsid w:val="26581C01"/>
    <w:rsid w:val="2684B420"/>
    <w:rsid w:val="26990090"/>
    <w:rsid w:val="271617A7"/>
    <w:rsid w:val="271C412D"/>
    <w:rsid w:val="2721D188"/>
    <w:rsid w:val="272B9FC4"/>
    <w:rsid w:val="276A30A4"/>
    <w:rsid w:val="27C018AF"/>
    <w:rsid w:val="27F7CB50"/>
    <w:rsid w:val="28D462C3"/>
    <w:rsid w:val="28E1D133"/>
    <w:rsid w:val="29091B44"/>
    <w:rsid w:val="29520F9E"/>
    <w:rsid w:val="295562F6"/>
    <w:rsid w:val="29673CB6"/>
    <w:rsid w:val="29699138"/>
    <w:rsid w:val="2969A382"/>
    <w:rsid w:val="29795303"/>
    <w:rsid w:val="297B2F5D"/>
    <w:rsid w:val="29BF1BDF"/>
    <w:rsid w:val="29FEE1F4"/>
    <w:rsid w:val="2A085624"/>
    <w:rsid w:val="2A1CABBE"/>
    <w:rsid w:val="2A4839D4"/>
    <w:rsid w:val="2A58D8D1"/>
    <w:rsid w:val="2A6F9C23"/>
    <w:rsid w:val="2A85B6A0"/>
    <w:rsid w:val="2AEFC02F"/>
    <w:rsid w:val="2B7747A3"/>
    <w:rsid w:val="2B8DCE11"/>
    <w:rsid w:val="2BB9CAC2"/>
    <w:rsid w:val="2C0A6AA3"/>
    <w:rsid w:val="2C190C74"/>
    <w:rsid w:val="2C254F42"/>
    <w:rsid w:val="2C370C57"/>
    <w:rsid w:val="2C3D8EC3"/>
    <w:rsid w:val="2C44B33F"/>
    <w:rsid w:val="2C4E3B28"/>
    <w:rsid w:val="2C5F8EBF"/>
    <w:rsid w:val="2CC7CF16"/>
    <w:rsid w:val="2CC817B4"/>
    <w:rsid w:val="2D364905"/>
    <w:rsid w:val="2D604002"/>
    <w:rsid w:val="2D8BAD47"/>
    <w:rsid w:val="2DE79322"/>
    <w:rsid w:val="2E3ED31D"/>
    <w:rsid w:val="2E56EAAD"/>
    <w:rsid w:val="2E63479F"/>
    <w:rsid w:val="2E8A0EF3"/>
    <w:rsid w:val="2E99183A"/>
    <w:rsid w:val="2ECD0011"/>
    <w:rsid w:val="2EE79E3E"/>
    <w:rsid w:val="2F05C3DB"/>
    <w:rsid w:val="2F1CF9EE"/>
    <w:rsid w:val="2F64952C"/>
    <w:rsid w:val="2F8CD327"/>
    <w:rsid w:val="2FF21B07"/>
    <w:rsid w:val="3002896B"/>
    <w:rsid w:val="3009B96B"/>
    <w:rsid w:val="3029A6BF"/>
    <w:rsid w:val="304804CE"/>
    <w:rsid w:val="30579BAF"/>
    <w:rsid w:val="306D479B"/>
    <w:rsid w:val="30B4DE43"/>
    <w:rsid w:val="30CB1BB5"/>
    <w:rsid w:val="310A7421"/>
    <w:rsid w:val="318C7665"/>
    <w:rsid w:val="31C546DF"/>
    <w:rsid w:val="31D35E51"/>
    <w:rsid w:val="31F23602"/>
    <w:rsid w:val="31FF5DE1"/>
    <w:rsid w:val="320134BA"/>
    <w:rsid w:val="320EA3AE"/>
    <w:rsid w:val="320F7788"/>
    <w:rsid w:val="323B3571"/>
    <w:rsid w:val="3270C41F"/>
    <w:rsid w:val="32947AA7"/>
    <w:rsid w:val="329653A4"/>
    <w:rsid w:val="32A64482"/>
    <w:rsid w:val="33314C57"/>
    <w:rsid w:val="3376E1E2"/>
    <w:rsid w:val="339528B1"/>
    <w:rsid w:val="33977DA9"/>
    <w:rsid w:val="33DDF330"/>
    <w:rsid w:val="33EF7171"/>
    <w:rsid w:val="34315B28"/>
    <w:rsid w:val="3445ABE1"/>
    <w:rsid w:val="3446E3C6"/>
    <w:rsid w:val="346C7335"/>
    <w:rsid w:val="34715078"/>
    <w:rsid w:val="34F73A6D"/>
    <w:rsid w:val="350AE438"/>
    <w:rsid w:val="351E937D"/>
    <w:rsid w:val="35435B49"/>
    <w:rsid w:val="354BFBC1"/>
    <w:rsid w:val="3560E9C8"/>
    <w:rsid w:val="358B5D3D"/>
    <w:rsid w:val="35FEB9B2"/>
    <w:rsid w:val="362C3E1D"/>
    <w:rsid w:val="3637FFD3"/>
    <w:rsid w:val="363813B0"/>
    <w:rsid w:val="36737BAB"/>
    <w:rsid w:val="368DB833"/>
    <w:rsid w:val="36AA7537"/>
    <w:rsid w:val="37160333"/>
    <w:rsid w:val="3731936E"/>
    <w:rsid w:val="3757A1D3"/>
    <w:rsid w:val="377C55AF"/>
    <w:rsid w:val="37AA4494"/>
    <w:rsid w:val="37C3AD52"/>
    <w:rsid w:val="37EEAB9D"/>
    <w:rsid w:val="3807BD2E"/>
    <w:rsid w:val="382C36A7"/>
    <w:rsid w:val="383076A0"/>
    <w:rsid w:val="3847850F"/>
    <w:rsid w:val="384BFEFD"/>
    <w:rsid w:val="3856343F"/>
    <w:rsid w:val="3859EC35"/>
    <w:rsid w:val="3888F7CA"/>
    <w:rsid w:val="388E67B9"/>
    <w:rsid w:val="38A2B0E5"/>
    <w:rsid w:val="38E6393C"/>
    <w:rsid w:val="390B7772"/>
    <w:rsid w:val="391C5AF1"/>
    <w:rsid w:val="391E11F5"/>
    <w:rsid w:val="392D5D48"/>
    <w:rsid w:val="3931FDC5"/>
    <w:rsid w:val="398D418B"/>
    <w:rsid w:val="39A2C69A"/>
    <w:rsid w:val="39A38D8F"/>
    <w:rsid w:val="39D4A129"/>
    <w:rsid w:val="3A4C3DFD"/>
    <w:rsid w:val="3A608C59"/>
    <w:rsid w:val="3AB063AA"/>
    <w:rsid w:val="3ABE2D7A"/>
    <w:rsid w:val="3AD32F78"/>
    <w:rsid w:val="3AD347A1"/>
    <w:rsid w:val="3AD3D9C6"/>
    <w:rsid w:val="3AEC87A5"/>
    <w:rsid w:val="3AEEF175"/>
    <w:rsid w:val="3B1754F7"/>
    <w:rsid w:val="3B1E3B16"/>
    <w:rsid w:val="3B351307"/>
    <w:rsid w:val="3B494B1D"/>
    <w:rsid w:val="3B5BBA2F"/>
    <w:rsid w:val="3B6194FE"/>
    <w:rsid w:val="3B6EA5F5"/>
    <w:rsid w:val="3B7A6E39"/>
    <w:rsid w:val="3BAFDB70"/>
    <w:rsid w:val="3BCD2809"/>
    <w:rsid w:val="3C46EACD"/>
    <w:rsid w:val="3C4A1553"/>
    <w:rsid w:val="3C652B23"/>
    <w:rsid w:val="3C655487"/>
    <w:rsid w:val="3C8E438A"/>
    <w:rsid w:val="3CA73F68"/>
    <w:rsid w:val="3CC233A6"/>
    <w:rsid w:val="3CDDC406"/>
    <w:rsid w:val="3D107D05"/>
    <w:rsid w:val="3D204FCF"/>
    <w:rsid w:val="3D30A71A"/>
    <w:rsid w:val="3D5934A7"/>
    <w:rsid w:val="3D711699"/>
    <w:rsid w:val="3D940FD3"/>
    <w:rsid w:val="3DB560B9"/>
    <w:rsid w:val="3DBD568C"/>
    <w:rsid w:val="3DF05BAE"/>
    <w:rsid w:val="3DFA016D"/>
    <w:rsid w:val="3E027018"/>
    <w:rsid w:val="3E16D176"/>
    <w:rsid w:val="3E1832BE"/>
    <w:rsid w:val="3E47F8B1"/>
    <w:rsid w:val="3E7690D3"/>
    <w:rsid w:val="3E786BEE"/>
    <w:rsid w:val="3E8B104A"/>
    <w:rsid w:val="3E9A46E1"/>
    <w:rsid w:val="3EA1CC32"/>
    <w:rsid w:val="3F0DD149"/>
    <w:rsid w:val="3F300841"/>
    <w:rsid w:val="3F501CAC"/>
    <w:rsid w:val="3F516CAE"/>
    <w:rsid w:val="3F58029E"/>
    <w:rsid w:val="3F776020"/>
    <w:rsid w:val="3FA20723"/>
    <w:rsid w:val="3FCECD78"/>
    <w:rsid w:val="402E55E8"/>
    <w:rsid w:val="4058F246"/>
    <w:rsid w:val="4068181E"/>
    <w:rsid w:val="406E7BE9"/>
    <w:rsid w:val="4093C281"/>
    <w:rsid w:val="4096E3E2"/>
    <w:rsid w:val="409F7E14"/>
    <w:rsid w:val="40A46099"/>
    <w:rsid w:val="40A49166"/>
    <w:rsid w:val="40B20F82"/>
    <w:rsid w:val="40B4F278"/>
    <w:rsid w:val="4113742B"/>
    <w:rsid w:val="411A3DFC"/>
    <w:rsid w:val="4151AF30"/>
    <w:rsid w:val="4155F9A3"/>
    <w:rsid w:val="415ACAAC"/>
    <w:rsid w:val="415FF5F9"/>
    <w:rsid w:val="41620A76"/>
    <w:rsid w:val="418209E6"/>
    <w:rsid w:val="41BB9D45"/>
    <w:rsid w:val="41BD3F02"/>
    <w:rsid w:val="41E3C2FB"/>
    <w:rsid w:val="42180259"/>
    <w:rsid w:val="426D83F1"/>
    <w:rsid w:val="427B72E9"/>
    <w:rsid w:val="4301F19E"/>
    <w:rsid w:val="432916F3"/>
    <w:rsid w:val="436BBE60"/>
    <w:rsid w:val="43743F72"/>
    <w:rsid w:val="437643BB"/>
    <w:rsid w:val="437AACBF"/>
    <w:rsid w:val="43BBB3E0"/>
    <w:rsid w:val="4486C9C6"/>
    <w:rsid w:val="44885E5F"/>
    <w:rsid w:val="4488B862"/>
    <w:rsid w:val="449AF2CC"/>
    <w:rsid w:val="44D6AE7B"/>
    <w:rsid w:val="44F17EDD"/>
    <w:rsid w:val="4505A279"/>
    <w:rsid w:val="452E42B7"/>
    <w:rsid w:val="4557AD47"/>
    <w:rsid w:val="45B73964"/>
    <w:rsid w:val="45C07BB6"/>
    <w:rsid w:val="45E96D00"/>
    <w:rsid w:val="45FFD1F4"/>
    <w:rsid w:val="46034794"/>
    <w:rsid w:val="462951EF"/>
    <w:rsid w:val="4668E83A"/>
    <w:rsid w:val="46C07BC1"/>
    <w:rsid w:val="46C4490A"/>
    <w:rsid w:val="46C49510"/>
    <w:rsid w:val="46E97C65"/>
    <w:rsid w:val="4709BD3B"/>
    <w:rsid w:val="47213BA2"/>
    <w:rsid w:val="472DB99F"/>
    <w:rsid w:val="47559AE1"/>
    <w:rsid w:val="475A2EA1"/>
    <w:rsid w:val="475D216D"/>
    <w:rsid w:val="47D3BD4B"/>
    <w:rsid w:val="4840E78B"/>
    <w:rsid w:val="4844DDD3"/>
    <w:rsid w:val="48D105F6"/>
    <w:rsid w:val="48E8FE66"/>
    <w:rsid w:val="4910A38D"/>
    <w:rsid w:val="49232365"/>
    <w:rsid w:val="492EF932"/>
    <w:rsid w:val="4938A24B"/>
    <w:rsid w:val="49777A9F"/>
    <w:rsid w:val="4981C661"/>
    <w:rsid w:val="49968320"/>
    <w:rsid w:val="499A56C8"/>
    <w:rsid w:val="499F4031"/>
    <w:rsid w:val="49A09305"/>
    <w:rsid w:val="49C11BD0"/>
    <w:rsid w:val="49D096AE"/>
    <w:rsid w:val="49DBC6E2"/>
    <w:rsid w:val="49F1B7FC"/>
    <w:rsid w:val="49F3178D"/>
    <w:rsid w:val="49FC35D2"/>
    <w:rsid w:val="4A2D9046"/>
    <w:rsid w:val="4B303328"/>
    <w:rsid w:val="4B83B30F"/>
    <w:rsid w:val="4BCE71E1"/>
    <w:rsid w:val="4BE8378B"/>
    <w:rsid w:val="4BF2EDD8"/>
    <w:rsid w:val="4BFD52A9"/>
    <w:rsid w:val="4C0AE9A3"/>
    <w:rsid w:val="4C15EBA6"/>
    <w:rsid w:val="4C37E4C7"/>
    <w:rsid w:val="4C593BFE"/>
    <w:rsid w:val="4C5AEF8F"/>
    <w:rsid w:val="4C67DFBF"/>
    <w:rsid w:val="4C7ACA69"/>
    <w:rsid w:val="4CA30F9B"/>
    <w:rsid w:val="4CAC4029"/>
    <w:rsid w:val="4CB15695"/>
    <w:rsid w:val="4D03FA9D"/>
    <w:rsid w:val="4D8B7D8C"/>
    <w:rsid w:val="4DBAD95C"/>
    <w:rsid w:val="4DC8A358"/>
    <w:rsid w:val="4DC93DCD"/>
    <w:rsid w:val="4DEF37B9"/>
    <w:rsid w:val="4DF3B49C"/>
    <w:rsid w:val="4E38F3B6"/>
    <w:rsid w:val="4E48FA2A"/>
    <w:rsid w:val="4E58F62A"/>
    <w:rsid w:val="4E5B1255"/>
    <w:rsid w:val="4E7501F8"/>
    <w:rsid w:val="4EBEDDB5"/>
    <w:rsid w:val="4ECFA6F5"/>
    <w:rsid w:val="4F2CAAA0"/>
    <w:rsid w:val="4F7871F2"/>
    <w:rsid w:val="4F78906D"/>
    <w:rsid w:val="4F7CE47A"/>
    <w:rsid w:val="4FA03723"/>
    <w:rsid w:val="4FA54530"/>
    <w:rsid w:val="4FB63423"/>
    <w:rsid w:val="4FBDE5AB"/>
    <w:rsid w:val="4FD6D560"/>
    <w:rsid w:val="4FDCB3C6"/>
    <w:rsid w:val="4FE66EE4"/>
    <w:rsid w:val="4FE6FE07"/>
    <w:rsid w:val="5024D932"/>
    <w:rsid w:val="505A09AE"/>
    <w:rsid w:val="506B7756"/>
    <w:rsid w:val="507DE760"/>
    <w:rsid w:val="50977724"/>
    <w:rsid w:val="50A15A6A"/>
    <w:rsid w:val="50C748FC"/>
    <w:rsid w:val="5118093F"/>
    <w:rsid w:val="51546264"/>
    <w:rsid w:val="51B38867"/>
    <w:rsid w:val="51E1F5A1"/>
    <w:rsid w:val="52000492"/>
    <w:rsid w:val="522A8AD2"/>
    <w:rsid w:val="523520C1"/>
    <w:rsid w:val="5259F578"/>
    <w:rsid w:val="52875CC6"/>
    <w:rsid w:val="52894333"/>
    <w:rsid w:val="52BF2679"/>
    <w:rsid w:val="52F4CE0B"/>
    <w:rsid w:val="530FDB54"/>
    <w:rsid w:val="534BB0F5"/>
    <w:rsid w:val="5358DC0F"/>
    <w:rsid w:val="539C8EF5"/>
    <w:rsid w:val="53C6C58F"/>
    <w:rsid w:val="53D92F35"/>
    <w:rsid w:val="5405D141"/>
    <w:rsid w:val="5413024A"/>
    <w:rsid w:val="5430F672"/>
    <w:rsid w:val="5455C6CE"/>
    <w:rsid w:val="546E295E"/>
    <w:rsid w:val="548DCCA2"/>
    <w:rsid w:val="5495B1E4"/>
    <w:rsid w:val="54CBB59A"/>
    <w:rsid w:val="54EB2929"/>
    <w:rsid w:val="55177B59"/>
    <w:rsid w:val="551F4F31"/>
    <w:rsid w:val="554C5A55"/>
    <w:rsid w:val="5550B1D8"/>
    <w:rsid w:val="55874E63"/>
    <w:rsid w:val="558ADB66"/>
    <w:rsid w:val="559BB113"/>
    <w:rsid w:val="55B22995"/>
    <w:rsid w:val="55D67177"/>
    <w:rsid w:val="55DCFED0"/>
    <w:rsid w:val="561817B1"/>
    <w:rsid w:val="561F6750"/>
    <w:rsid w:val="56442217"/>
    <w:rsid w:val="564B26B6"/>
    <w:rsid w:val="56595EE4"/>
    <w:rsid w:val="565B2830"/>
    <w:rsid w:val="56D39629"/>
    <w:rsid w:val="570ADBA7"/>
    <w:rsid w:val="57589C7E"/>
    <w:rsid w:val="57A38017"/>
    <w:rsid w:val="57AF94B2"/>
    <w:rsid w:val="57BC7518"/>
    <w:rsid w:val="585F089E"/>
    <w:rsid w:val="5876893B"/>
    <w:rsid w:val="587F4FA0"/>
    <w:rsid w:val="58AFDC66"/>
    <w:rsid w:val="58ED6E26"/>
    <w:rsid w:val="58EE10D4"/>
    <w:rsid w:val="58FAB6D6"/>
    <w:rsid w:val="593A2501"/>
    <w:rsid w:val="594E6D29"/>
    <w:rsid w:val="5965030D"/>
    <w:rsid w:val="597244E0"/>
    <w:rsid w:val="59F8D5B4"/>
    <w:rsid w:val="5A041D6F"/>
    <w:rsid w:val="5A08406D"/>
    <w:rsid w:val="5ACAC4DA"/>
    <w:rsid w:val="5AE8CD3E"/>
    <w:rsid w:val="5AFD11A7"/>
    <w:rsid w:val="5B2CC256"/>
    <w:rsid w:val="5B3432DC"/>
    <w:rsid w:val="5B37AC7E"/>
    <w:rsid w:val="5B5C8AE5"/>
    <w:rsid w:val="5BA410CE"/>
    <w:rsid w:val="5BAE29FD"/>
    <w:rsid w:val="5BE40E1B"/>
    <w:rsid w:val="5BE4125D"/>
    <w:rsid w:val="5BE6C9AA"/>
    <w:rsid w:val="5BF7B62F"/>
    <w:rsid w:val="5C2D52CD"/>
    <w:rsid w:val="5C2DC9BA"/>
    <w:rsid w:val="5C2F8C7F"/>
    <w:rsid w:val="5C527E71"/>
    <w:rsid w:val="5C546073"/>
    <w:rsid w:val="5C88106E"/>
    <w:rsid w:val="5C8CF0A1"/>
    <w:rsid w:val="5C920225"/>
    <w:rsid w:val="5C949B55"/>
    <w:rsid w:val="5CB29279"/>
    <w:rsid w:val="5CC3CF30"/>
    <w:rsid w:val="5CF2BE5E"/>
    <w:rsid w:val="5D261008"/>
    <w:rsid w:val="5D30FA7D"/>
    <w:rsid w:val="5D49FA5E"/>
    <w:rsid w:val="5D62BC7F"/>
    <w:rsid w:val="5D6322BB"/>
    <w:rsid w:val="5D64485E"/>
    <w:rsid w:val="5D6CDE54"/>
    <w:rsid w:val="5D9B7573"/>
    <w:rsid w:val="5DA5F4DC"/>
    <w:rsid w:val="5E11E4BE"/>
    <w:rsid w:val="5E31F648"/>
    <w:rsid w:val="5E6E0999"/>
    <w:rsid w:val="5E6F57D9"/>
    <w:rsid w:val="5E9592EC"/>
    <w:rsid w:val="5EDD91E0"/>
    <w:rsid w:val="5F05EC8B"/>
    <w:rsid w:val="5F314BDE"/>
    <w:rsid w:val="5F42469C"/>
    <w:rsid w:val="5F5B49E9"/>
    <w:rsid w:val="5F67F1D6"/>
    <w:rsid w:val="5F7F8179"/>
    <w:rsid w:val="5FC7E110"/>
    <w:rsid w:val="5FF66AB4"/>
    <w:rsid w:val="600C425B"/>
    <w:rsid w:val="600D3850"/>
    <w:rsid w:val="6012D7B5"/>
    <w:rsid w:val="60527F43"/>
    <w:rsid w:val="60582218"/>
    <w:rsid w:val="60BA3ACD"/>
    <w:rsid w:val="60C24F46"/>
    <w:rsid w:val="60CBBC75"/>
    <w:rsid w:val="60DF89D2"/>
    <w:rsid w:val="6105116D"/>
    <w:rsid w:val="61336D53"/>
    <w:rsid w:val="6144D84E"/>
    <w:rsid w:val="6151E97A"/>
    <w:rsid w:val="6157CF01"/>
    <w:rsid w:val="61581C67"/>
    <w:rsid w:val="617015D4"/>
    <w:rsid w:val="61720489"/>
    <w:rsid w:val="61C5820A"/>
    <w:rsid w:val="61F9B7E4"/>
    <w:rsid w:val="620289E0"/>
    <w:rsid w:val="6213EB5F"/>
    <w:rsid w:val="621D6B81"/>
    <w:rsid w:val="625323A8"/>
    <w:rsid w:val="626B6844"/>
    <w:rsid w:val="628016F4"/>
    <w:rsid w:val="62B2A966"/>
    <w:rsid w:val="62E4AD32"/>
    <w:rsid w:val="62E78FFF"/>
    <w:rsid w:val="62EBCFEA"/>
    <w:rsid w:val="6347778D"/>
    <w:rsid w:val="63511C2C"/>
    <w:rsid w:val="6371F2EF"/>
    <w:rsid w:val="637567C7"/>
    <w:rsid w:val="63B93BE2"/>
    <w:rsid w:val="642E7CC8"/>
    <w:rsid w:val="649751CB"/>
    <w:rsid w:val="64ACC60D"/>
    <w:rsid w:val="64B90766"/>
    <w:rsid w:val="64C2C1DE"/>
    <w:rsid w:val="65299951"/>
    <w:rsid w:val="6534FCA1"/>
    <w:rsid w:val="655A35D6"/>
    <w:rsid w:val="65969EDE"/>
    <w:rsid w:val="6596C0A2"/>
    <w:rsid w:val="65A63DB6"/>
    <w:rsid w:val="65B56136"/>
    <w:rsid w:val="65CAA6E7"/>
    <w:rsid w:val="65CF05F3"/>
    <w:rsid w:val="65D3FA03"/>
    <w:rsid w:val="65DACCFC"/>
    <w:rsid w:val="6608FAC4"/>
    <w:rsid w:val="6617FD1F"/>
    <w:rsid w:val="662C2601"/>
    <w:rsid w:val="668183DA"/>
    <w:rsid w:val="66AD4B98"/>
    <w:rsid w:val="66AD7C46"/>
    <w:rsid w:val="66DE6FC3"/>
    <w:rsid w:val="66F07668"/>
    <w:rsid w:val="66F0DCA4"/>
    <w:rsid w:val="66F50F9A"/>
    <w:rsid w:val="66F897B7"/>
    <w:rsid w:val="671DE418"/>
    <w:rsid w:val="6748694F"/>
    <w:rsid w:val="679F7FD5"/>
    <w:rsid w:val="67DB138C"/>
    <w:rsid w:val="67FA636C"/>
    <w:rsid w:val="6807BC08"/>
    <w:rsid w:val="681DB71C"/>
    <w:rsid w:val="682FB7B4"/>
    <w:rsid w:val="684085A2"/>
    <w:rsid w:val="685F94E1"/>
    <w:rsid w:val="696B7F97"/>
    <w:rsid w:val="696BCE6F"/>
    <w:rsid w:val="6994A560"/>
    <w:rsid w:val="69A213DB"/>
    <w:rsid w:val="69C12EF8"/>
    <w:rsid w:val="6A0B6C19"/>
    <w:rsid w:val="6A53F2F1"/>
    <w:rsid w:val="6A56AC7F"/>
    <w:rsid w:val="6B2EA19E"/>
    <w:rsid w:val="6B3C6225"/>
    <w:rsid w:val="6B584713"/>
    <w:rsid w:val="6B845DF1"/>
    <w:rsid w:val="6BCC3B4D"/>
    <w:rsid w:val="6C026B21"/>
    <w:rsid w:val="6C10FC85"/>
    <w:rsid w:val="6C2904DC"/>
    <w:rsid w:val="6C6FDEF2"/>
    <w:rsid w:val="6C974FC2"/>
    <w:rsid w:val="6CD971A9"/>
    <w:rsid w:val="6CDA6E09"/>
    <w:rsid w:val="6D13E7E2"/>
    <w:rsid w:val="6D493305"/>
    <w:rsid w:val="6D9F5CC7"/>
    <w:rsid w:val="6DC9EBC6"/>
    <w:rsid w:val="6DCF76E4"/>
    <w:rsid w:val="6E1449CC"/>
    <w:rsid w:val="6E22977B"/>
    <w:rsid w:val="6E22E9E4"/>
    <w:rsid w:val="6E256A24"/>
    <w:rsid w:val="6E2581D8"/>
    <w:rsid w:val="6E2F1E39"/>
    <w:rsid w:val="6E59F6CF"/>
    <w:rsid w:val="6E613F11"/>
    <w:rsid w:val="6E62E695"/>
    <w:rsid w:val="6E8530E6"/>
    <w:rsid w:val="6EA54FA7"/>
    <w:rsid w:val="6ED9460A"/>
    <w:rsid w:val="6EDE58F8"/>
    <w:rsid w:val="6F03DC0F"/>
    <w:rsid w:val="6F23FDDB"/>
    <w:rsid w:val="6F5C6E74"/>
    <w:rsid w:val="6F6447F1"/>
    <w:rsid w:val="6F6FA70D"/>
    <w:rsid w:val="6F7000E6"/>
    <w:rsid w:val="6FE794B1"/>
    <w:rsid w:val="6FEF918F"/>
    <w:rsid w:val="6FF8952E"/>
    <w:rsid w:val="7021F31B"/>
    <w:rsid w:val="703CE178"/>
    <w:rsid w:val="7050066F"/>
    <w:rsid w:val="70624EDE"/>
    <w:rsid w:val="709A5D84"/>
    <w:rsid w:val="70ADAB39"/>
    <w:rsid w:val="70D7F455"/>
    <w:rsid w:val="70FFDA1C"/>
    <w:rsid w:val="71022012"/>
    <w:rsid w:val="710AE318"/>
    <w:rsid w:val="71867971"/>
    <w:rsid w:val="719B8DC4"/>
    <w:rsid w:val="71A7D7F3"/>
    <w:rsid w:val="71C254B8"/>
    <w:rsid w:val="71CE7E6A"/>
    <w:rsid w:val="71F90B97"/>
    <w:rsid w:val="720B93E5"/>
    <w:rsid w:val="7269521A"/>
    <w:rsid w:val="726DD479"/>
    <w:rsid w:val="7279B404"/>
    <w:rsid w:val="7281B25F"/>
    <w:rsid w:val="7297782F"/>
    <w:rsid w:val="72B703C3"/>
    <w:rsid w:val="72E11553"/>
    <w:rsid w:val="73096FCA"/>
    <w:rsid w:val="73AF65F2"/>
    <w:rsid w:val="73DAE553"/>
    <w:rsid w:val="73DC1243"/>
    <w:rsid w:val="73E4AB28"/>
    <w:rsid w:val="7411ADAA"/>
    <w:rsid w:val="741C43A2"/>
    <w:rsid w:val="74BE7467"/>
    <w:rsid w:val="74C4529F"/>
    <w:rsid w:val="74C4D207"/>
    <w:rsid w:val="75023371"/>
    <w:rsid w:val="75376F98"/>
    <w:rsid w:val="7545F3A3"/>
    <w:rsid w:val="755038B2"/>
    <w:rsid w:val="756286E8"/>
    <w:rsid w:val="7565F15C"/>
    <w:rsid w:val="756746EF"/>
    <w:rsid w:val="7575DFF6"/>
    <w:rsid w:val="757F2999"/>
    <w:rsid w:val="75C462FC"/>
    <w:rsid w:val="75CB76AC"/>
    <w:rsid w:val="760B32CE"/>
    <w:rsid w:val="762CA98F"/>
    <w:rsid w:val="763C4A81"/>
    <w:rsid w:val="764AD697"/>
    <w:rsid w:val="765550FB"/>
    <w:rsid w:val="766332B9"/>
    <w:rsid w:val="76641500"/>
    <w:rsid w:val="76914BC2"/>
    <w:rsid w:val="76A843E0"/>
    <w:rsid w:val="76AE0BD2"/>
    <w:rsid w:val="76C3E1D8"/>
    <w:rsid w:val="770F29C8"/>
    <w:rsid w:val="7713419B"/>
    <w:rsid w:val="77393D04"/>
    <w:rsid w:val="774A06C7"/>
    <w:rsid w:val="77B3ED08"/>
    <w:rsid w:val="77D81AE2"/>
    <w:rsid w:val="77DC83F7"/>
    <w:rsid w:val="77ECEBDF"/>
    <w:rsid w:val="781A3AB1"/>
    <w:rsid w:val="781AEFEA"/>
    <w:rsid w:val="78382FE7"/>
    <w:rsid w:val="7842FF22"/>
    <w:rsid w:val="789845F8"/>
    <w:rsid w:val="78A3BDE1"/>
    <w:rsid w:val="78A96692"/>
    <w:rsid w:val="78AAFA29"/>
    <w:rsid w:val="790D4645"/>
    <w:rsid w:val="7927A919"/>
    <w:rsid w:val="792911E0"/>
    <w:rsid w:val="792C29E1"/>
    <w:rsid w:val="793CCA46"/>
    <w:rsid w:val="794118E3"/>
    <w:rsid w:val="79544BB7"/>
    <w:rsid w:val="79AC060C"/>
    <w:rsid w:val="79CB54FC"/>
    <w:rsid w:val="7A0B0D46"/>
    <w:rsid w:val="7A831AA4"/>
    <w:rsid w:val="7AC2A784"/>
    <w:rsid w:val="7AC82348"/>
    <w:rsid w:val="7AD11529"/>
    <w:rsid w:val="7AEFBA4B"/>
    <w:rsid w:val="7B03A237"/>
    <w:rsid w:val="7B1818C8"/>
    <w:rsid w:val="7B5131A6"/>
    <w:rsid w:val="7B8399CA"/>
    <w:rsid w:val="7BB3675C"/>
    <w:rsid w:val="7BD5620F"/>
    <w:rsid w:val="7BF2CDA3"/>
    <w:rsid w:val="7C207F57"/>
    <w:rsid w:val="7C45EB32"/>
    <w:rsid w:val="7C84B5A1"/>
    <w:rsid w:val="7C8B00E7"/>
    <w:rsid w:val="7C918B7C"/>
    <w:rsid w:val="7C93B0D0"/>
    <w:rsid w:val="7C9CFD3E"/>
    <w:rsid w:val="7CD8AC85"/>
    <w:rsid w:val="7CE83575"/>
    <w:rsid w:val="7D4EFCDC"/>
    <w:rsid w:val="7D52791B"/>
    <w:rsid w:val="7D6B2438"/>
    <w:rsid w:val="7D87402B"/>
    <w:rsid w:val="7D9E9602"/>
    <w:rsid w:val="7DC0FDFE"/>
    <w:rsid w:val="7DCDBEE2"/>
    <w:rsid w:val="7DEBD711"/>
    <w:rsid w:val="7DF2CA1D"/>
    <w:rsid w:val="7DF93821"/>
    <w:rsid w:val="7E0A4796"/>
    <w:rsid w:val="7E380A90"/>
    <w:rsid w:val="7E436795"/>
    <w:rsid w:val="7E48167E"/>
    <w:rsid w:val="7E52AF1D"/>
    <w:rsid w:val="7E62E4A1"/>
    <w:rsid w:val="7E917039"/>
    <w:rsid w:val="7E9A9158"/>
    <w:rsid w:val="7EB67963"/>
    <w:rsid w:val="7ECE9DCC"/>
    <w:rsid w:val="7F2F2071"/>
    <w:rsid w:val="7F4470EB"/>
    <w:rsid w:val="7F7C2F31"/>
    <w:rsid w:val="7F95E5EB"/>
    <w:rsid w:val="7FBC482B"/>
    <w:rsid w:val="7FC74CDA"/>
    <w:rsid w:val="7FD2774F"/>
    <w:rsid w:val="7FDBAF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BF8EF"/>
  <w15:docId w15:val="{F219A3C5-BBAA-4C14-8EDE-6D52AE8F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DF01A1"/>
    <w:pPr>
      <w:widowControl w:val="0"/>
      <w:spacing w:before="360"/>
      <w:contextualSpacing/>
      <w:outlineLvl w:val="0"/>
    </w:pPr>
    <w:rPr>
      <w:rFonts w:ascii="Calibri" w:eastAsiaTheme="minorHAnsi" w:hAnsi="Calibri" w:cstheme="minorBidi"/>
      <w:b/>
      <w:bCs/>
      <w:color w:val="083A42"/>
      <w:spacing w:val="5"/>
      <w:kern w:val="28"/>
      <w:sz w:val="72"/>
      <w:szCs w:val="28"/>
      <w:lang w:eastAsia="en-US"/>
    </w:rPr>
  </w:style>
  <w:style w:type="paragraph" w:styleId="Heading2">
    <w:name w:val="heading 2"/>
    <w:basedOn w:val="Normal"/>
    <w:next w:val="Normal"/>
    <w:link w:val="Heading2Char"/>
    <w:uiPriority w:val="3"/>
    <w:rsid w:val="00A32152"/>
    <w:pPr>
      <w:spacing w:after="240" w:line="240" w:lineRule="auto"/>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4"/>
    <w:qFormat/>
    <w:pPr>
      <w:keepNext/>
      <w:keepLines/>
      <w:numPr>
        <w:ilvl w:val="1"/>
        <w:numId w:val="34"/>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34"/>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DF01A1"/>
    <w:rPr>
      <w:rFonts w:ascii="Calibri" w:eastAsiaTheme="minorHAnsi" w:hAnsi="Calibri" w:cstheme="minorBidi"/>
      <w:b/>
      <w:bCs/>
      <w:color w:val="083A42"/>
      <w:spacing w:val="5"/>
      <w:kern w:val="28"/>
      <w:sz w:val="72"/>
      <w:szCs w:val="28"/>
      <w:lang w:eastAsia="en-US"/>
    </w:rPr>
  </w:style>
  <w:style w:type="character" w:customStyle="1" w:styleId="Heading2Char">
    <w:name w:val="Heading 2 Char"/>
    <w:basedOn w:val="DefaultParagraphFont"/>
    <w:link w:val="Heading2"/>
    <w:uiPriority w:val="3"/>
    <w:rsid w:val="00A32152"/>
    <w:rPr>
      <w:rFonts w:ascii="Calibri" w:eastAsiaTheme="minorEastAsia" w:hAnsi="Calibri" w:cstheme="minorBidi"/>
      <w:bCs/>
      <w:color w:val="197C7D"/>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val="0"/>
      <w:sz w:val="56"/>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60058"/>
    <w:rPr>
      <w:color w:val="165788"/>
      <w:u w:val="single"/>
    </w:rPr>
  </w:style>
  <w:style w:type="paragraph" w:styleId="ListBullet">
    <w:name w:val="List Bullet"/>
    <w:basedOn w:val="Normal"/>
    <w:uiPriority w:val="99"/>
    <w:qFormat/>
    <w:rsid w:val="00123033"/>
    <w:pPr>
      <w:numPr>
        <w:numId w:val="18"/>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18"/>
      </w:numPr>
      <w:spacing w:before="120" w:after="120"/>
      <w:contextualSpacing/>
    </w:pPr>
  </w:style>
  <w:style w:type="paragraph" w:styleId="ListNumber">
    <w:name w:val="List Number"/>
    <w:basedOn w:val="Normal"/>
    <w:uiPriority w:val="9"/>
    <w:qFormat/>
    <w:rsid w:val="00123033"/>
    <w:pPr>
      <w:numPr>
        <w:numId w:val="17"/>
      </w:numPr>
      <w:tabs>
        <w:tab w:val="left" w:pos="142"/>
      </w:tabs>
      <w:spacing w:before="120" w:after="120"/>
    </w:pPr>
  </w:style>
  <w:style w:type="paragraph" w:styleId="ListNumber2">
    <w:name w:val="List Number 2"/>
    <w:uiPriority w:val="10"/>
    <w:qFormat/>
    <w:rsid w:val="00884E3A"/>
    <w:pPr>
      <w:numPr>
        <w:ilvl w:val="1"/>
        <w:numId w:val="17"/>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884E3A"/>
    <w:pPr>
      <w:numPr>
        <w:ilvl w:val="2"/>
        <w:numId w:val="17"/>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10"/>
      </w:numPr>
      <w:ind w:left="357" w:hanging="357"/>
    </w:pPr>
  </w:style>
  <w:style w:type="paragraph" w:customStyle="1" w:styleId="TableBullet1">
    <w:name w:val="Table Bullet 1"/>
    <w:basedOn w:val="TableText"/>
    <w:uiPriority w:val="15"/>
    <w:qFormat/>
    <w:pPr>
      <w:numPr>
        <w:numId w:val="11"/>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12"/>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13"/>
      </w:numPr>
    </w:pPr>
  </w:style>
  <w:style w:type="numbering" w:customStyle="1" w:styleId="Headinglist">
    <w:name w:val="Heading list"/>
    <w:uiPriority w:val="99"/>
    <w:pPr>
      <w:numPr>
        <w:numId w:val="14"/>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1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16"/>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197C7D" w:themeColor="accent1"/>
    </w:rPr>
  </w:style>
  <w:style w:type="paragraph" w:customStyle="1" w:styleId="TableBullet2">
    <w:name w:val="Table Bullet 2"/>
    <w:basedOn w:val="TableBullet1"/>
    <w:qFormat/>
    <w:pPr>
      <w:numPr>
        <w:numId w:val="20"/>
      </w:numPr>
      <w:tabs>
        <w:tab w:val="num" w:pos="284"/>
      </w:tabs>
      <w:ind w:left="568" w:hanging="284"/>
    </w:pPr>
  </w:style>
  <w:style w:type="numbering" w:customStyle="1" w:styleId="TableBulletlist">
    <w:name w:val="Table Bullet list"/>
    <w:uiPriority w:val="99"/>
    <w:pPr>
      <w:numPr>
        <w:numId w:val="19"/>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basedOn w:val="Normal"/>
    <w:uiPriority w:val="34"/>
    <w:qFormat/>
    <w:rsid w:val="006C261F"/>
    <w:pPr>
      <w:spacing w:after="0" w:line="240" w:lineRule="auto"/>
      <w:ind w:left="720"/>
    </w:pPr>
    <w:rPr>
      <w:rFonts w:ascii="Calibri" w:hAnsi="Calibri" w:cs="Calibri"/>
    </w:rPr>
  </w:style>
  <w:style w:type="paragraph" w:styleId="Revision">
    <w:name w:val="Revision"/>
    <w:hidden/>
    <w:uiPriority w:val="99"/>
    <w:semiHidden/>
    <w:rsid w:val="007D4B4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232136">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59102978">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dcceew.gov.au" TargetMode="External"/><Relationship Id="rId18" Type="http://schemas.openxmlformats.org/officeDocument/2006/relationships/footer" Target="footer1.xml"/><Relationship Id="rId26" Type="http://schemas.openxmlformats.org/officeDocument/2006/relationships/hyperlink" Target="https://doi.org/10.1016/j.aquatox.2012.04.003"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2.xml"/><Relationship Id="rId25" Type="http://schemas.openxmlformats.org/officeDocument/2006/relationships/hyperlink" Target="https://doi.org/10.1002/etc.5770"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waterquality.gov.au/anz-guidelines"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dcceew.gov.au" TargetMode="External"/><Relationship Id="rId23" Type="http://schemas.openxmlformats.org/officeDocument/2006/relationships/hyperlink" Target="https://www.waterquality.gov.au/anz-guidelines/guideline-values/default/water-quality-toxicants/toxicants"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waterquality.gov.au/anz-guidelines/guideline-values/default" TargetMode="External"/><Relationship Id="rId27" Type="http://schemas.openxmlformats.org/officeDocument/2006/relationships/hyperlink" Target="https://doi.org/10.1002/etc.5768"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089\Downloads\DCCEEW-Report-template%20(1).dotx" TargetMode="External"/></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222021"/>
      </a:dk2>
      <a:lt2>
        <a:srgbClr val="083A42"/>
      </a:lt2>
      <a:accent1>
        <a:srgbClr val="197C7D"/>
      </a:accent1>
      <a:accent2>
        <a:srgbClr val="40C1AC"/>
      </a:accent2>
      <a:accent3>
        <a:srgbClr val="9AFFBE"/>
      </a:accent3>
      <a:accent4>
        <a:srgbClr val="FFFFFF"/>
      </a:accent4>
      <a:accent5>
        <a:srgbClr val="FFFFFF"/>
      </a:accent5>
      <a:accent6>
        <a:srgbClr val="FFFFFF"/>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AFB60CCA-6925-4D2A-8A6C-A570C0611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sharepoint/v3"/>
    <ds:schemaRef ds:uri="http://schemas.microsoft.com/office/2006/documentManagement/types"/>
    <ds:schemaRef ds:uri="a95247a4-6a6b-40fb-87b6-0fb2f012c536"/>
    <ds:schemaRef ds:uri="b98728ac-f998-415c-abee-6b046fb1441e"/>
    <ds:schemaRef ds:uri="http://schemas.microsoft.com/office/2006/metadata/properties"/>
    <ds:schemaRef ds:uri="http://schemas.microsoft.com/office/infopath/2007/PartnerControls"/>
    <ds:schemaRef ds:uri="http://purl.org/dc/dcmitype/"/>
    <ds:schemaRef ds:uri="d81c2681-db7b-4a56-9abd-a3238a78f6b2"/>
    <ds:schemaRef ds:uri="http://schemas.openxmlformats.org/package/2006/metadata/core-properties"/>
    <ds:schemaRef ds:uri="d869c146-c82e-4435-92e4-da91542262fd"/>
    <ds:schemaRef ds:uri="http://www.w3.org/XML/1998/namespace"/>
    <ds:schemaRef ds:uri="http://purl.org/dc/terms/"/>
    <ds:schemaRef ds:uri="http://purl.org/dc/elements/1.1/"/>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DCCEEW-Report-template (1)</Template>
  <TotalTime>1</TotalTime>
  <Pages>22</Pages>
  <Words>9218</Words>
  <Characters>52546</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Independent Review of Key Issues Arising from Public Comments on the PFOS Freshwater Draft Guideline Values</vt:lpstr>
    </vt:vector>
  </TitlesOfParts>
  <Company/>
  <LinksUpToDate>false</LinksUpToDate>
  <CharactersWithSpaces>61641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Key Issues Arising from Public Comments on the PFOS Freshwater Draft Guideline Values</dc:title>
  <dc:subject/>
  <dc:creator>P. Dawson, C. Le-Steere, R. M. Mann, J. Stauber and S. Vardy</dc:creator>
  <cp:keywords/>
  <dc:description/>
  <cp:lastModifiedBy>Bec DURACK</cp:lastModifiedBy>
  <cp:revision>2</cp:revision>
  <cp:lastPrinted>2024-08-21T02:43:00Z</cp:lastPrinted>
  <dcterms:created xsi:type="dcterms:W3CDTF">2024-08-26T01:42:00Z</dcterms:created>
  <dcterms:modified xsi:type="dcterms:W3CDTF">2024-08-26T01:42:00Z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y fmtid="{D5CDD505-2E9C-101B-9397-08002B2CF9AE}" pid="3" name="MediaServiceImageTags">
    <vt:lpwstr/>
  </property>
  <property fmtid="{D5CDD505-2E9C-101B-9397-08002B2CF9AE}" pid="4" name="Order">
    <vt:r8>59800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ClassificationContentMarkingHeaderShapeIds">
    <vt:lpwstr>28855a00,5b905b94,12943f26,32218cf7,424cdc64,775a89c9</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7f20800,59a3b248,59f6716,2edc1a2b,41537b19,33eab03f</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ies>
</file>