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2E03" w14:textId="77777777" w:rsidR="001C0D1C" w:rsidRDefault="00F039DE">
      <w:pPr>
        <w:pStyle w:val="Heading1"/>
      </w:pPr>
      <w:r>
        <w:t>Toxicant default guideline values for aquatic ecosystem protection</w:t>
      </w:r>
    </w:p>
    <w:p w14:paraId="4E042E04" w14:textId="77777777" w:rsidR="001C0D1C" w:rsidRDefault="00F039DE">
      <w:pPr>
        <w:pStyle w:val="Subtitle"/>
      </w:pPr>
      <w:r>
        <w:t>Picloram</w:t>
      </w:r>
      <w:r w:rsidR="00EE7040">
        <w:t xml:space="preserve"> </w:t>
      </w:r>
      <w:r w:rsidR="004D52CE">
        <w:t>in freshwater</w:t>
      </w:r>
    </w:p>
    <w:p w14:paraId="4E042E05" w14:textId="77777777" w:rsidR="001C0D1C" w:rsidRDefault="00F039DE">
      <w:pPr>
        <w:pStyle w:val="Documenttype"/>
      </w:pPr>
      <w:r>
        <w:t>Technical brief</w:t>
      </w:r>
    </w:p>
    <w:p w14:paraId="4E042E06" w14:textId="4283BAEA" w:rsidR="001C0D1C" w:rsidRDefault="00DE447C">
      <w:pPr>
        <w:pStyle w:val="Publicationdate"/>
        <w:rPr>
          <w:highlight w:val="yellow"/>
        </w:rPr>
      </w:pPr>
      <w:r>
        <w:t>January 2024</w:t>
      </w:r>
    </w:p>
    <w:p w14:paraId="4E042E07" w14:textId="77777777" w:rsidR="001C0D1C" w:rsidRDefault="00F039DE">
      <w:pPr>
        <w:spacing w:after="0" w:line="240" w:lineRule="auto"/>
        <w:rPr>
          <w:noProof/>
          <w:lang w:eastAsia="en-AU"/>
        </w:rPr>
      </w:pPr>
      <w:r>
        <w:br w:type="page"/>
      </w:r>
    </w:p>
    <w:p w14:paraId="4E042E08" w14:textId="5527E400" w:rsidR="001C0D1C" w:rsidRDefault="00F039DE">
      <w:pPr>
        <w:rPr>
          <w:sz w:val="18"/>
          <w:szCs w:val="18"/>
        </w:rPr>
      </w:pPr>
      <w:r>
        <w:rPr>
          <w:sz w:val="18"/>
          <w:szCs w:val="18"/>
        </w:rPr>
        <w:lastRenderedPageBreak/>
        <w:t xml:space="preserve">© Commonwealth of Australia </w:t>
      </w:r>
      <w:r w:rsidR="004D52CE">
        <w:rPr>
          <w:sz w:val="18"/>
          <w:szCs w:val="18"/>
        </w:rPr>
        <w:t>20</w:t>
      </w:r>
      <w:r w:rsidR="003F5DDF">
        <w:rPr>
          <w:sz w:val="18"/>
          <w:szCs w:val="18"/>
        </w:rPr>
        <w:t>2</w:t>
      </w:r>
      <w:r w:rsidR="00DE447C">
        <w:rPr>
          <w:sz w:val="18"/>
          <w:szCs w:val="18"/>
        </w:rPr>
        <w:t>4</w:t>
      </w:r>
    </w:p>
    <w:p w14:paraId="4E042E09" w14:textId="77777777" w:rsidR="001C0D1C" w:rsidRDefault="00F039DE">
      <w:pPr>
        <w:spacing w:after="0"/>
        <w:rPr>
          <w:rFonts w:ascii="Calibri" w:hAnsi="Calibri"/>
          <w:b/>
          <w:sz w:val="18"/>
          <w:szCs w:val="18"/>
        </w:rPr>
      </w:pPr>
      <w:r>
        <w:rPr>
          <w:rFonts w:ascii="Calibri" w:hAnsi="Calibri"/>
          <w:b/>
          <w:sz w:val="18"/>
          <w:szCs w:val="18"/>
        </w:rPr>
        <w:t>Ownership of intellectual property rights</w:t>
      </w:r>
    </w:p>
    <w:p w14:paraId="4E042E0A" w14:textId="77777777" w:rsidR="004D52CE" w:rsidRDefault="00F039D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4E042E0B" w14:textId="77777777" w:rsidR="00B151F6" w:rsidRDefault="00F039DE" w:rsidP="00B151F6">
      <w:pPr>
        <w:spacing w:after="0"/>
        <w:rPr>
          <w:rFonts w:ascii="Calibri" w:hAnsi="Calibri"/>
          <w:b/>
          <w:sz w:val="18"/>
          <w:szCs w:val="18"/>
        </w:rPr>
      </w:pPr>
      <w:r>
        <w:rPr>
          <w:rFonts w:ascii="Calibri" w:hAnsi="Calibri"/>
          <w:b/>
          <w:sz w:val="18"/>
          <w:szCs w:val="18"/>
        </w:rPr>
        <w:t>Creative Commons licence</w:t>
      </w:r>
    </w:p>
    <w:p w14:paraId="4E042E0C" w14:textId="77777777" w:rsidR="00B151F6" w:rsidRDefault="00F039DE"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4E042E0D" w14:textId="77777777" w:rsidR="00B151F6" w:rsidRDefault="00F039DE" w:rsidP="00B151F6">
      <w:pPr>
        <w:rPr>
          <w:sz w:val="18"/>
          <w:szCs w:val="18"/>
        </w:rPr>
      </w:pPr>
      <w:r>
        <w:rPr>
          <w:noProof/>
          <w:sz w:val="18"/>
          <w:szCs w:val="18"/>
          <w:lang w:eastAsia="en-AU"/>
        </w:rPr>
        <w:drawing>
          <wp:anchor distT="0" distB="0" distL="114300" distR="114300" simplePos="0" relativeHeight="251658240" behindDoc="0" locked="0" layoutInCell="1" allowOverlap="1" wp14:anchorId="4E0430DE" wp14:editId="4E0430DF">
            <wp:simplePos x="0" y="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81867"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4E042E0E" w14:textId="77777777" w:rsidR="00B151F6" w:rsidRDefault="00F039DE" w:rsidP="00B151F6">
      <w:pPr>
        <w:rPr>
          <w:sz w:val="18"/>
          <w:szCs w:val="18"/>
        </w:rPr>
      </w:pPr>
      <w:r>
        <w:rPr>
          <w:sz w:val="18"/>
          <w:szCs w:val="18"/>
        </w:rPr>
        <w:t xml:space="preserve">Inquiries about the licence and any use of this document should be emailed to </w:t>
      </w:r>
      <w:hyperlink r:id="rId14" w:history="1">
        <w:r w:rsidR="005B3244" w:rsidRPr="00B87B49">
          <w:rPr>
            <w:rStyle w:val="Hyperlink"/>
            <w:sz w:val="18"/>
            <w:szCs w:val="18"/>
          </w:rPr>
          <w:t>copyright@dcceew.gov.au</w:t>
        </w:r>
      </w:hyperlink>
      <w:r>
        <w:rPr>
          <w:sz w:val="18"/>
          <w:szCs w:val="18"/>
        </w:rPr>
        <w:t>.</w:t>
      </w:r>
    </w:p>
    <w:p w14:paraId="4E042E0F" w14:textId="77777777" w:rsidR="001C0D1C" w:rsidRDefault="00F039DE">
      <w:pPr>
        <w:spacing w:after="0"/>
        <w:rPr>
          <w:rFonts w:ascii="Calibri" w:hAnsi="Calibri"/>
          <w:b/>
          <w:sz w:val="18"/>
          <w:szCs w:val="18"/>
        </w:rPr>
      </w:pPr>
      <w:r>
        <w:rPr>
          <w:rFonts w:ascii="Calibri" w:hAnsi="Calibri"/>
          <w:b/>
          <w:sz w:val="18"/>
          <w:szCs w:val="18"/>
        </w:rPr>
        <w:t>Cataloguing data</w:t>
      </w:r>
    </w:p>
    <w:p w14:paraId="4E042E10" w14:textId="419D0F52" w:rsidR="00B151F6" w:rsidRDefault="00F039DE" w:rsidP="00B151F6">
      <w:pPr>
        <w:rPr>
          <w:sz w:val="18"/>
          <w:szCs w:val="18"/>
        </w:rPr>
      </w:pPr>
      <w:r>
        <w:rPr>
          <w:sz w:val="18"/>
          <w:szCs w:val="18"/>
        </w:rPr>
        <w:t xml:space="preserve">This publication (and any material sourced from it) should be attributed as: </w:t>
      </w:r>
      <w:r w:rsidR="00BE21AA">
        <w:rPr>
          <w:sz w:val="18"/>
          <w:szCs w:val="18"/>
        </w:rPr>
        <w:t>ANZG 202</w:t>
      </w:r>
      <w:r w:rsidR="00DE447C">
        <w:rPr>
          <w:sz w:val="18"/>
          <w:szCs w:val="18"/>
        </w:rPr>
        <w:t>4</w:t>
      </w:r>
      <w:r>
        <w:rPr>
          <w:sz w:val="18"/>
          <w:szCs w:val="18"/>
        </w:rPr>
        <w:t>,</w:t>
      </w:r>
      <w:r w:rsidR="00DF1801">
        <w:rPr>
          <w:sz w:val="18"/>
          <w:szCs w:val="18"/>
        </w:rPr>
        <w:t xml:space="preserve"> </w:t>
      </w:r>
      <w:r>
        <w:rPr>
          <w:i/>
          <w:sz w:val="18"/>
          <w:szCs w:val="18"/>
        </w:rPr>
        <w:t xml:space="preserve">Toxicant default guideline values for aquatic ecosystem protection: </w:t>
      </w:r>
      <w:r w:rsidR="00DE042E">
        <w:rPr>
          <w:i/>
          <w:sz w:val="18"/>
          <w:szCs w:val="18"/>
        </w:rPr>
        <w:t>Picloram</w:t>
      </w:r>
      <w:r>
        <w:rPr>
          <w:i/>
          <w:sz w:val="18"/>
          <w:szCs w:val="18"/>
        </w:rPr>
        <w:t xml:space="preserve"> in freshwater.</w:t>
      </w:r>
      <w:r w:rsidR="00BE21AA">
        <w:rPr>
          <w:i/>
          <w:sz w:val="18"/>
          <w:szCs w:val="18"/>
        </w:rPr>
        <w:t xml:space="preserve"> </w:t>
      </w:r>
      <w:r w:rsidR="00BE21AA">
        <w:rPr>
          <w:sz w:val="18"/>
          <w:szCs w:val="18"/>
        </w:rPr>
        <w:t>Australian and New Zealand Guidelines for Fresh and Marine Water Quality</w:t>
      </w:r>
      <w:r w:rsidR="0038494A">
        <w:rPr>
          <w:sz w:val="18"/>
          <w:szCs w:val="18"/>
        </w:rPr>
        <w:t>.</w:t>
      </w:r>
      <w:r w:rsidRPr="00D47CA4">
        <w:rPr>
          <w:sz w:val="18"/>
          <w:szCs w:val="18"/>
        </w:rPr>
        <w:t xml:space="preserve"> Australian and New Zealand Governments and Australian state and territory governments, Canberra, ACT, Australia</w:t>
      </w:r>
      <w:r>
        <w:rPr>
          <w:sz w:val="18"/>
          <w:szCs w:val="18"/>
        </w:rPr>
        <w:t>.</w:t>
      </w:r>
    </w:p>
    <w:p w14:paraId="4E042E11" w14:textId="77777777" w:rsidR="00B151F6" w:rsidRDefault="00F039DE" w:rsidP="00B151F6">
      <w:pPr>
        <w:rPr>
          <w:sz w:val="18"/>
          <w:szCs w:val="18"/>
        </w:rPr>
      </w:pPr>
      <w:r>
        <w:rPr>
          <w:sz w:val="18"/>
          <w:szCs w:val="18"/>
        </w:rPr>
        <w:t xml:space="preserve">This publication is available at </w:t>
      </w:r>
      <w:hyperlink r:id="rId15" w:history="1">
        <w:r w:rsidRPr="00017770">
          <w:rPr>
            <w:rStyle w:val="Hyperlink"/>
            <w:sz w:val="18"/>
            <w:szCs w:val="18"/>
          </w:rPr>
          <w:t>waterquality.gov.au/anz-guidelines/guideline-values/default/water-quality-toxicants/toxicants</w:t>
        </w:r>
      </w:hyperlink>
      <w:r>
        <w:rPr>
          <w:sz w:val="18"/>
          <w:szCs w:val="18"/>
        </w:rPr>
        <w:t>.</w:t>
      </w:r>
    </w:p>
    <w:p w14:paraId="4E042E12" w14:textId="77777777" w:rsidR="00824850" w:rsidRDefault="00F039DE" w:rsidP="00824850">
      <w:pPr>
        <w:spacing w:after="0"/>
        <w:rPr>
          <w:b/>
          <w:sz w:val="18"/>
          <w:szCs w:val="18"/>
        </w:rPr>
      </w:pPr>
      <w:r w:rsidRPr="00824850">
        <w:rPr>
          <w:b/>
          <w:sz w:val="18"/>
          <w:szCs w:val="18"/>
        </w:rPr>
        <w:t>Contact</w:t>
      </w:r>
    </w:p>
    <w:p w14:paraId="4E042E13" w14:textId="77777777" w:rsidR="00824850" w:rsidRDefault="00F039DE" w:rsidP="00824850">
      <w:pPr>
        <w:spacing w:after="0"/>
        <w:rPr>
          <w:b/>
          <w:sz w:val="18"/>
          <w:szCs w:val="18"/>
        </w:rPr>
      </w:pPr>
      <w:r>
        <w:rPr>
          <w:sz w:val="18"/>
          <w:szCs w:val="18"/>
        </w:rPr>
        <w:t xml:space="preserve">Australian Government Department of </w:t>
      </w:r>
      <w:r w:rsidR="005B3244">
        <w:rPr>
          <w:sz w:val="18"/>
          <w:szCs w:val="18"/>
        </w:rPr>
        <w:t>Climate Change, Energy, the Environment and Water</w:t>
      </w:r>
    </w:p>
    <w:p w14:paraId="4E042E14" w14:textId="77777777" w:rsidR="001C0D1C" w:rsidRPr="00824850" w:rsidRDefault="00F039DE" w:rsidP="00824850">
      <w:pPr>
        <w:spacing w:after="0"/>
        <w:rPr>
          <w:b/>
          <w:sz w:val="18"/>
          <w:szCs w:val="18"/>
        </w:rPr>
      </w:pPr>
      <w:r>
        <w:rPr>
          <w:sz w:val="18"/>
          <w:szCs w:val="18"/>
        </w:rPr>
        <w:t>GPO Box 858 Canberra ACT 2601</w:t>
      </w:r>
    </w:p>
    <w:p w14:paraId="4E042E15" w14:textId="58D8571F" w:rsidR="001C0D1C" w:rsidRDefault="00BE21AA" w:rsidP="00824850">
      <w:pPr>
        <w:spacing w:after="0"/>
        <w:rPr>
          <w:sz w:val="18"/>
          <w:szCs w:val="18"/>
        </w:rPr>
      </w:pPr>
      <w:r>
        <w:rPr>
          <w:sz w:val="18"/>
          <w:szCs w:val="18"/>
        </w:rPr>
        <w:t xml:space="preserve">General enquiries: </w:t>
      </w:r>
      <w:r w:rsidR="00F039DE">
        <w:rPr>
          <w:sz w:val="18"/>
          <w:szCs w:val="18"/>
        </w:rPr>
        <w:t>1800 9</w:t>
      </w:r>
      <w:r>
        <w:rPr>
          <w:sz w:val="18"/>
          <w:szCs w:val="18"/>
        </w:rPr>
        <w:t>20 528</w:t>
      </w:r>
    </w:p>
    <w:p w14:paraId="4E042E16" w14:textId="77777777" w:rsidR="001C0D1C" w:rsidRDefault="00F039DE" w:rsidP="00DE1BC0">
      <w:pPr>
        <w:rPr>
          <w:sz w:val="18"/>
          <w:szCs w:val="18"/>
        </w:rPr>
      </w:pPr>
      <w:r>
        <w:rPr>
          <w:sz w:val="18"/>
          <w:szCs w:val="18"/>
        </w:rPr>
        <w:t xml:space="preserve">Email </w:t>
      </w:r>
      <w:hyperlink r:id="rId16" w:history="1">
        <w:r w:rsidR="005B3244" w:rsidRPr="00B87B49">
          <w:rPr>
            <w:rStyle w:val="Hyperlink"/>
            <w:sz w:val="18"/>
            <w:szCs w:val="18"/>
          </w:rPr>
          <w:t>waterquality@dcceew.gov.au</w:t>
        </w:r>
      </w:hyperlink>
    </w:p>
    <w:p w14:paraId="4E042E17" w14:textId="77777777" w:rsidR="00B151F6" w:rsidRDefault="00F039DE" w:rsidP="00B151F6">
      <w:pPr>
        <w:spacing w:after="0"/>
        <w:rPr>
          <w:rFonts w:ascii="Calibri" w:hAnsi="Calibri"/>
          <w:b/>
          <w:sz w:val="18"/>
          <w:szCs w:val="18"/>
        </w:rPr>
      </w:pPr>
      <w:r>
        <w:rPr>
          <w:rFonts w:ascii="Calibri" w:hAnsi="Calibri"/>
          <w:b/>
          <w:sz w:val="18"/>
          <w:szCs w:val="18"/>
        </w:rPr>
        <w:t>Disclaimer</w:t>
      </w:r>
    </w:p>
    <w:p w14:paraId="4E042E18" w14:textId="77777777" w:rsidR="00B151F6" w:rsidRDefault="00F039DE" w:rsidP="00DE1BC0">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E042E19" w14:textId="77777777" w:rsidR="00B151F6" w:rsidRDefault="00F039DE" w:rsidP="00B151F6">
      <w:pPr>
        <w:spacing w:after="0"/>
        <w:rPr>
          <w:rFonts w:ascii="Calibri" w:hAnsi="Calibri"/>
          <w:b/>
          <w:sz w:val="18"/>
          <w:szCs w:val="18"/>
        </w:rPr>
      </w:pPr>
      <w:r>
        <w:rPr>
          <w:rFonts w:ascii="Calibri" w:hAnsi="Calibri"/>
          <w:b/>
          <w:sz w:val="18"/>
          <w:szCs w:val="18"/>
        </w:rPr>
        <w:t>Acknowledgements</w:t>
      </w:r>
    </w:p>
    <w:p w14:paraId="4E042E1A" w14:textId="77777777" w:rsidR="001C0D1C" w:rsidRDefault="00F039DE">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(DG</w:t>
      </w:r>
      <w:r w:rsidR="0019607B">
        <w:rPr>
          <w:sz w:val="18"/>
          <w:szCs w:val="18"/>
        </w:rPr>
        <w:t>V</w:t>
      </w:r>
      <w:r w:rsidR="001B1DB2">
        <w:rPr>
          <w:sz w:val="18"/>
          <w:szCs w:val="18"/>
        </w:rPr>
        <w:t>s)</w:t>
      </w:r>
      <w:r>
        <w:rPr>
          <w:sz w:val="18"/>
          <w:szCs w:val="18"/>
        </w:rPr>
        <w:t xml:space="preserve"> were derived by </w:t>
      </w:r>
      <w:r w:rsidR="00883019" w:rsidRPr="00883019">
        <w:rPr>
          <w:sz w:val="18"/>
          <w:szCs w:val="18"/>
          <w:lang w:bidi="en-US"/>
        </w:rPr>
        <w:t>Naomi Cooper, Kirsten Broadgate, Clare Papaleo and Carolyn Brumley of Golder Associates</w:t>
      </w:r>
      <w:r w:rsidR="00883019">
        <w:rPr>
          <w:sz w:val="18"/>
          <w:szCs w:val="18"/>
          <w:lang w:bidi="en-US"/>
        </w:rPr>
        <w:t>, Melbourne, Australia</w:t>
      </w:r>
      <w:r w:rsidRPr="00EC2A20">
        <w:rPr>
          <w:sz w:val="18"/>
          <w:szCs w:val="18"/>
        </w:rPr>
        <w:t>.</w:t>
      </w:r>
      <w:r w:rsidR="001B1DB2">
        <w:rPr>
          <w:sz w:val="18"/>
          <w:szCs w:val="18"/>
        </w:rPr>
        <w:t xml:space="preserve"> The DGVs</w:t>
      </w:r>
      <w:r>
        <w:rPr>
          <w:sz w:val="18"/>
          <w:szCs w:val="18"/>
        </w:rPr>
        <w:t xml:space="preserve"> were peer reviewed by two anonymous reviewers and by two contracted technical advisors, Dr Rick van Dam and Alicia Hogan.</w:t>
      </w:r>
      <w:r w:rsidR="00094994">
        <w:rPr>
          <w:sz w:val="18"/>
          <w:szCs w:val="18"/>
        </w:rPr>
        <w:t xml:space="preserve"> The DGVs were also reviewed and approved by jurisdictional technical and policy oversight groups and a National Water Reform Committee prior to being published.</w:t>
      </w:r>
      <w:r w:rsidR="00094994">
        <w:rPr>
          <w:noProof/>
          <w:sz w:val="18"/>
          <w:szCs w:val="18"/>
          <w:lang w:eastAsia="en-AU"/>
        </w:rPr>
        <w:t xml:space="preserve"> </w:t>
      </w:r>
      <w:r w:rsidR="00E55B1C">
        <w:rPr>
          <w:noProof/>
          <w:sz w:val="18"/>
          <w:szCs w:val="18"/>
          <w:lang w:eastAsia="en-AU"/>
        </w:rPr>
        <w:drawing>
          <wp:inline distT="0" distB="0" distL="0" distR="0" wp14:anchorId="4E0430E0" wp14:editId="4E0430E1">
            <wp:extent cx="5759450" cy="2129079"/>
            <wp:effectExtent l="0" t="0" r="0" b="508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86416" name="DA2834_1216_Water Quality state logos.jpg"/>
                    <pic:cNvPicPr/>
                  </pic:nvPicPr>
                  <pic:blipFill>
                    <a:blip r:embed="rId17">
                      <a:extLst>
                        <a:ext uri="{28A0092B-C50C-407E-A947-70E740481C1C}">
                          <a14:useLocalDpi xmlns:a14="http://schemas.microsoft.com/office/drawing/2010/main" val="0"/>
                        </a:ext>
                      </a:extLst>
                    </a:blip>
                    <a:srcRect t="6371"/>
                    <a:stretch>
                      <a:fillRect/>
                    </a:stretch>
                  </pic:blipFill>
                  <pic:spPr bwMode="auto">
                    <a:xfrm>
                      <a:off x="0" y="0"/>
                      <a:ext cx="5759450" cy="2129079"/>
                    </a:xfrm>
                    <a:prstGeom prst="rect">
                      <a:avLst/>
                    </a:prstGeom>
                    <a:ln>
                      <a:noFill/>
                    </a:ln>
                    <a:extLst>
                      <a:ext uri="{53640926-AAD7-44D8-BBD7-CCE9431645EC}">
                        <a14:shadowObscured xmlns:a14="http://schemas.microsoft.com/office/drawing/2010/main"/>
                      </a:ext>
                    </a:extLst>
                  </pic:spPr>
                </pic:pic>
              </a:graphicData>
            </a:graphic>
          </wp:inline>
        </w:drawing>
      </w:r>
    </w:p>
    <w:p w14:paraId="4E042E1B" w14:textId="77777777" w:rsidR="001C0D1C" w:rsidRDefault="00F039DE">
      <w:pPr>
        <w:pStyle w:val="TOCHeading"/>
      </w:pPr>
      <w:r>
        <w:lastRenderedPageBreak/>
        <w:t>Contents</w:t>
      </w:r>
    </w:p>
    <w:p w14:paraId="4E042E1C" w14:textId="412D3520" w:rsidR="002608AA" w:rsidRDefault="00F039DE">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t>Summary</w:t>
      </w:r>
      <w:r>
        <w:tab/>
      </w:r>
      <w:r>
        <w:fldChar w:fldCharType="begin"/>
      </w:r>
      <w:r>
        <w:instrText xml:space="preserve"> PAGEREF _Toc80543126 \h </w:instrText>
      </w:r>
      <w:r>
        <w:fldChar w:fldCharType="separate"/>
      </w:r>
      <w:r w:rsidR="006700C9">
        <w:t>iv</w:t>
      </w:r>
      <w:r>
        <w:fldChar w:fldCharType="end"/>
      </w:r>
    </w:p>
    <w:p w14:paraId="4E042E1D" w14:textId="28C47C76" w:rsidR="002608AA" w:rsidRDefault="00F039DE">
      <w:pPr>
        <w:pStyle w:val="TOC1"/>
        <w:rPr>
          <w:rFonts w:eastAsiaTheme="minorEastAsia"/>
          <w:b w:val="0"/>
          <w:lang w:eastAsia="en-AU"/>
        </w:rPr>
      </w:pPr>
      <w:r w:rsidRPr="00582FB6">
        <w:t>1</w:t>
      </w:r>
      <w:r>
        <w:rPr>
          <w:rFonts w:eastAsiaTheme="minorEastAsia"/>
          <w:b w:val="0"/>
          <w:lang w:eastAsia="en-AU"/>
        </w:rPr>
        <w:tab/>
      </w:r>
      <w:r>
        <w:t>Introduction</w:t>
      </w:r>
      <w:r>
        <w:tab/>
      </w:r>
      <w:r>
        <w:fldChar w:fldCharType="begin"/>
      </w:r>
      <w:r>
        <w:instrText xml:space="preserve"> PAGEREF _Toc80543127 \h </w:instrText>
      </w:r>
      <w:r>
        <w:fldChar w:fldCharType="separate"/>
      </w:r>
      <w:r w:rsidR="006700C9">
        <w:t>1</w:t>
      </w:r>
      <w:r>
        <w:fldChar w:fldCharType="end"/>
      </w:r>
    </w:p>
    <w:p w14:paraId="4E042E1E" w14:textId="1174CA1F" w:rsidR="002608AA" w:rsidRDefault="00F039DE">
      <w:pPr>
        <w:pStyle w:val="TOC1"/>
        <w:rPr>
          <w:rFonts w:eastAsiaTheme="minorEastAsia"/>
          <w:b w:val="0"/>
          <w:lang w:eastAsia="en-AU"/>
        </w:rPr>
      </w:pPr>
      <w:r w:rsidRPr="00582FB6">
        <w:t>2</w:t>
      </w:r>
      <w:r>
        <w:rPr>
          <w:rFonts w:eastAsiaTheme="minorEastAsia"/>
          <w:b w:val="0"/>
          <w:lang w:eastAsia="en-AU"/>
        </w:rPr>
        <w:tab/>
      </w:r>
      <w:r>
        <w:t>Aquatic toxicology</w:t>
      </w:r>
      <w:r>
        <w:tab/>
      </w:r>
      <w:r>
        <w:fldChar w:fldCharType="begin"/>
      </w:r>
      <w:r>
        <w:instrText xml:space="preserve"> PAGEREF _Toc80543128 \h </w:instrText>
      </w:r>
      <w:r>
        <w:fldChar w:fldCharType="separate"/>
      </w:r>
      <w:r w:rsidR="006700C9">
        <w:t>3</w:t>
      </w:r>
      <w:r>
        <w:fldChar w:fldCharType="end"/>
      </w:r>
    </w:p>
    <w:p w14:paraId="4E042E1F" w14:textId="285D6AB2" w:rsidR="002608AA" w:rsidRDefault="00F039DE">
      <w:pPr>
        <w:pStyle w:val="TOC2"/>
        <w:tabs>
          <w:tab w:val="left" w:pos="1100"/>
        </w:tabs>
        <w:rPr>
          <w:rFonts w:eastAsiaTheme="minorEastAsia"/>
          <w:lang w:eastAsia="en-AU"/>
        </w:rPr>
      </w:pPr>
      <w:r>
        <w:t>2.1</w:t>
      </w:r>
      <w:r>
        <w:rPr>
          <w:rFonts w:eastAsiaTheme="minorEastAsia"/>
          <w:lang w:eastAsia="en-AU"/>
        </w:rPr>
        <w:tab/>
      </w:r>
      <w:r>
        <w:t>Mechanism of toxicity</w:t>
      </w:r>
      <w:r>
        <w:tab/>
      </w:r>
      <w:r>
        <w:fldChar w:fldCharType="begin"/>
      </w:r>
      <w:r>
        <w:instrText xml:space="preserve"> PAGEREF _Toc80543129 \h </w:instrText>
      </w:r>
      <w:r>
        <w:fldChar w:fldCharType="separate"/>
      </w:r>
      <w:r w:rsidR="006700C9">
        <w:t>3</w:t>
      </w:r>
      <w:r>
        <w:fldChar w:fldCharType="end"/>
      </w:r>
    </w:p>
    <w:p w14:paraId="4E042E20" w14:textId="1111BB8B" w:rsidR="002608AA" w:rsidRDefault="00F039DE">
      <w:pPr>
        <w:pStyle w:val="TOC2"/>
        <w:tabs>
          <w:tab w:val="left" w:pos="1100"/>
        </w:tabs>
        <w:rPr>
          <w:rFonts w:eastAsiaTheme="minorEastAsia"/>
          <w:lang w:eastAsia="en-AU"/>
        </w:rPr>
      </w:pPr>
      <w:r>
        <w:t>2.2</w:t>
      </w:r>
      <w:r>
        <w:rPr>
          <w:rFonts w:eastAsiaTheme="minorEastAsia"/>
          <w:lang w:eastAsia="en-AU"/>
        </w:rPr>
        <w:tab/>
      </w:r>
      <w:r>
        <w:t>Toxicity</w:t>
      </w:r>
      <w:r>
        <w:tab/>
      </w:r>
      <w:r>
        <w:fldChar w:fldCharType="begin"/>
      </w:r>
      <w:r>
        <w:instrText xml:space="preserve"> PAGEREF _Toc80543130 \h </w:instrText>
      </w:r>
      <w:r>
        <w:fldChar w:fldCharType="separate"/>
      </w:r>
      <w:r w:rsidR="006700C9">
        <w:t>3</w:t>
      </w:r>
      <w:r>
        <w:fldChar w:fldCharType="end"/>
      </w:r>
    </w:p>
    <w:p w14:paraId="4E042E21" w14:textId="7587278E" w:rsidR="002608AA" w:rsidRDefault="00F039DE">
      <w:pPr>
        <w:pStyle w:val="TOC1"/>
        <w:rPr>
          <w:rFonts w:eastAsiaTheme="minorEastAsia"/>
          <w:b w:val="0"/>
          <w:lang w:eastAsia="en-AU"/>
        </w:rPr>
      </w:pPr>
      <w:r w:rsidRPr="00582FB6">
        <w:t>3</w:t>
      </w:r>
      <w:r>
        <w:rPr>
          <w:rFonts w:eastAsiaTheme="minorEastAsia"/>
          <w:b w:val="0"/>
          <w:lang w:eastAsia="en-AU"/>
        </w:rPr>
        <w:tab/>
      </w:r>
      <w:r>
        <w:t>Factors affecting toxicity</w:t>
      </w:r>
      <w:r>
        <w:tab/>
      </w:r>
      <w:r>
        <w:fldChar w:fldCharType="begin"/>
      </w:r>
      <w:r>
        <w:instrText xml:space="preserve"> PAGEREF _Toc80543131 \h </w:instrText>
      </w:r>
      <w:r>
        <w:fldChar w:fldCharType="separate"/>
      </w:r>
      <w:r w:rsidR="006700C9">
        <w:t>4</w:t>
      </w:r>
      <w:r>
        <w:fldChar w:fldCharType="end"/>
      </w:r>
    </w:p>
    <w:p w14:paraId="4E042E22" w14:textId="32A49D11" w:rsidR="002608AA" w:rsidRDefault="00F039DE">
      <w:pPr>
        <w:pStyle w:val="TOC1"/>
        <w:rPr>
          <w:rFonts w:eastAsiaTheme="minorEastAsia"/>
          <w:b w:val="0"/>
          <w:lang w:eastAsia="en-AU"/>
        </w:rPr>
      </w:pPr>
      <w:r w:rsidRPr="00582FB6">
        <w:t>4</w:t>
      </w:r>
      <w:r>
        <w:rPr>
          <w:rFonts w:eastAsiaTheme="minorEastAsia"/>
          <w:b w:val="0"/>
          <w:lang w:eastAsia="en-AU"/>
        </w:rPr>
        <w:tab/>
      </w:r>
      <w:r>
        <w:t>Default guideline value derivation</w:t>
      </w:r>
      <w:r>
        <w:tab/>
      </w:r>
      <w:r>
        <w:fldChar w:fldCharType="begin"/>
      </w:r>
      <w:r>
        <w:instrText xml:space="preserve"> PAGEREF _Toc80543132 \h </w:instrText>
      </w:r>
      <w:r>
        <w:fldChar w:fldCharType="separate"/>
      </w:r>
      <w:r w:rsidR="006700C9">
        <w:t>4</w:t>
      </w:r>
      <w:r>
        <w:fldChar w:fldCharType="end"/>
      </w:r>
    </w:p>
    <w:p w14:paraId="4E042E23" w14:textId="235707A4" w:rsidR="002608AA" w:rsidRDefault="00F039DE">
      <w:pPr>
        <w:pStyle w:val="TOC2"/>
        <w:tabs>
          <w:tab w:val="left" w:pos="1100"/>
        </w:tabs>
        <w:rPr>
          <w:rFonts w:eastAsiaTheme="minorEastAsia"/>
          <w:lang w:eastAsia="en-AU"/>
        </w:rPr>
      </w:pPr>
      <w:r>
        <w:t>4.1</w:t>
      </w:r>
      <w:r>
        <w:rPr>
          <w:rFonts w:eastAsiaTheme="minorEastAsia"/>
          <w:lang w:eastAsia="en-AU"/>
        </w:rPr>
        <w:tab/>
      </w:r>
      <w:r>
        <w:t>Toxicity data used in derivation</w:t>
      </w:r>
      <w:r>
        <w:tab/>
      </w:r>
      <w:r>
        <w:fldChar w:fldCharType="begin"/>
      </w:r>
      <w:r>
        <w:instrText xml:space="preserve"> PAGEREF _Toc80543133 \h </w:instrText>
      </w:r>
      <w:r>
        <w:fldChar w:fldCharType="separate"/>
      </w:r>
      <w:r w:rsidR="006700C9">
        <w:t>4</w:t>
      </w:r>
      <w:r>
        <w:fldChar w:fldCharType="end"/>
      </w:r>
    </w:p>
    <w:p w14:paraId="4E042E24" w14:textId="3B5AD576" w:rsidR="002608AA" w:rsidRDefault="00F039DE">
      <w:pPr>
        <w:pStyle w:val="TOC2"/>
        <w:tabs>
          <w:tab w:val="left" w:pos="1100"/>
        </w:tabs>
        <w:rPr>
          <w:rFonts w:eastAsiaTheme="minorEastAsia"/>
          <w:lang w:eastAsia="en-AU"/>
        </w:rPr>
      </w:pPr>
      <w:r>
        <w:t>4.2</w:t>
      </w:r>
      <w:r>
        <w:rPr>
          <w:rFonts w:eastAsiaTheme="minorEastAsia"/>
          <w:lang w:eastAsia="en-AU"/>
        </w:rPr>
        <w:tab/>
      </w:r>
      <w:r>
        <w:t>Species sensitivity distribution</w:t>
      </w:r>
      <w:r>
        <w:tab/>
      </w:r>
      <w:r>
        <w:fldChar w:fldCharType="begin"/>
      </w:r>
      <w:r>
        <w:instrText xml:space="preserve"> PAGEREF _Toc80543134 \h </w:instrText>
      </w:r>
      <w:r>
        <w:fldChar w:fldCharType="separate"/>
      </w:r>
      <w:r w:rsidR="006700C9">
        <w:t>6</w:t>
      </w:r>
      <w:r>
        <w:fldChar w:fldCharType="end"/>
      </w:r>
    </w:p>
    <w:p w14:paraId="4E042E25" w14:textId="11F616F2" w:rsidR="002608AA" w:rsidRDefault="00F039DE">
      <w:pPr>
        <w:pStyle w:val="TOC2"/>
        <w:tabs>
          <w:tab w:val="left" w:pos="1100"/>
        </w:tabs>
        <w:rPr>
          <w:rFonts w:eastAsiaTheme="minorEastAsia"/>
          <w:lang w:eastAsia="en-AU"/>
        </w:rPr>
      </w:pPr>
      <w:r>
        <w:t>4.3</w:t>
      </w:r>
      <w:r>
        <w:rPr>
          <w:rFonts w:eastAsiaTheme="minorEastAsia"/>
          <w:lang w:eastAsia="en-AU"/>
        </w:rPr>
        <w:tab/>
      </w:r>
      <w:r>
        <w:t>Default guideline values</w:t>
      </w:r>
      <w:r>
        <w:tab/>
      </w:r>
      <w:r>
        <w:fldChar w:fldCharType="begin"/>
      </w:r>
      <w:r>
        <w:instrText xml:space="preserve"> PAGEREF _Toc80543135 \h </w:instrText>
      </w:r>
      <w:r>
        <w:fldChar w:fldCharType="separate"/>
      </w:r>
      <w:r w:rsidR="006700C9">
        <w:t>6</w:t>
      </w:r>
      <w:r>
        <w:fldChar w:fldCharType="end"/>
      </w:r>
    </w:p>
    <w:p w14:paraId="4E042E26" w14:textId="756BF352" w:rsidR="002608AA" w:rsidRDefault="00F039DE">
      <w:pPr>
        <w:pStyle w:val="TOC2"/>
        <w:tabs>
          <w:tab w:val="left" w:pos="1100"/>
        </w:tabs>
        <w:rPr>
          <w:rFonts w:eastAsiaTheme="minorEastAsia"/>
          <w:lang w:eastAsia="en-AU"/>
        </w:rPr>
      </w:pPr>
      <w:r>
        <w:t>4.4</w:t>
      </w:r>
      <w:r>
        <w:rPr>
          <w:rFonts w:eastAsiaTheme="minorEastAsia"/>
          <w:lang w:eastAsia="en-AU"/>
        </w:rPr>
        <w:tab/>
      </w:r>
      <w:r>
        <w:t>Reliability classification</w:t>
      </w:r>
      <w:r>
        <w:tab/>
      </w:r>
      <w:r>
        <w:fldChar w:fldCharType="begin"/>
      </w:r>
      <w:r>
        <w:instrText xml:space="preserve"> PAGEREF _Toc80543136 \h </w:instrText>
      </w:r>
      <w:r>
        <w:fldChar w:fldCharType="separate"/>
      </w:r>
      <w:r w:rsidR="006700C9">
        <w:t>7</w:t>
      </w:r>
      <w:r>
        <w:fldChar w:fldCharType="end"/>
      </w:r>
    </w:p>
    <w:p w14:paraId="4E042E27" w14:textId="65613205" w:rsidR="002608AA" w:rsidRDefault="00F039DE">
      <w:pPr>
        <w:pStyle w:val="TOC1"/>
        <w:rPr>
          <w:rFonts w:eastAsiaTheme="minorEastAsia"/>
          <w:b w:val="0"/>
          <w:lang w:eastAsia="en-AU"/>
        </w:rPr>
      </w:pPr>
      <w:r>
        <w:t>Glossary</w:t>
      </w:r>
      <w:r>
        <w:tab/>
      </w:r>
      <w:r>
        <w:fldChar w:fldCharType="begin"/>
      </w:r>
      <w:r>
        <w:instrText xml:space="preserve"> PAGEREF _Toc80543137 \h </w:instrText>
      </w:r>
      <w:r>
        <w:fldChar w:fldCharType="separate"/>
      </w:r>
      <w:r w:rsidR="006700C9">
        <w:t>8</w:t>
      </w:r>
      <w:r>
        <w:fldChar w:fldCharType="end"/>
      </w:r>
    </w:p>
    <w:p w14:paraId="4E042E28" w14:textId="1E00EA74" w:rsidR="002608AA" w:rsidRDefault="00F039DE">
      <w:pPr>
        <w:pStyle w:val="TOC1"/>
        <w:rPr>
          <w:rFonts w:eastAsiaTheme="minorEastAsia"/>
          <w:b w:val="0"/>
          <w:lang w:eastAsia="en-AU"/>
        </w:rPr>
      </w:pPr>
      <w:r>
        <w:t>Appendix A: Toxicity data that passed the screening and quality assessment and were used to derive the default guideline values</w:t>
      </w:r>
      <w:r>
        <w:tab/>
      </w:r>
      <w:r>
        <w:fldChar w:fldCharType="begin"/>
      </w:r>
      <w:r>
        <w:instrText xml:space="preserve"> PAGEREF _Toc80543138 \h </w:instrText>
      </w:r>
      <w:r>
        <w:fldChar w:fldCharType="separate"/>
      </w:r>
      <w:r w:rsidR="006700C9">
        <w:t>9</w:t>
      </w:r>
      <w:r>
        <w:fldChar w:fldCharType="end"/>
      </w:r>
    </w:p>
    <w:p w14:paraId="4E042E29" w14:textId="415B8F86" w:rsidR="002608AA" w:rsidRDefault="00F039DE">
      <w:pPr>
        <w:pStyle w:val="TOC1"/>
        <w:rPr>
          <w:rFonts w:eastAsiaTheme="minorEastAsia"/>
          <w:b w:val="0"/>
          <w:lang w:eastAsia="en-AU"/>
        </w:rPr>
      </w:pPr>
      <w:r>
        <w:t>Appendix B: Modality assessment for Picloram</w:t>
      </w:r>
      <w:r>
        <w:tab/>
      </w:r>
      <w:r>
        <w:fldChar w:fldCharType="begin"/>
      </w:r>
      <w:r>
        <w:instrText xml:space="preserve"> PAGEREF _Toc80543139 \h </w:instrText>
      </w:r>
      <w:r>
        <w:fldChar w:fldCharType="separate"/>
      </w:r>
      <w:r w:rsidR="006700C9">
        <w:t>11</w:t>
      </w:r>
      <w:r>
        <w:fldChar w:fldCharType="end"/>
      </w:r>
    </w:p>
    <w:p w14:paraId="4E042E2A" w14:textId="71D93465" w:rsidR="002608AA" w:rsidRDefault="00F039DE">
      <w:pPr>
        <w:pStyle w:val="TOC1"/>
        <w:rPr>
          <w:rFonts w:eastAsiaTheme="minorEastAsia"/>
          <w:b w:val="0"/>
          <w:lang w:eastAsia="en-AU"/>
        </w:rPr>
      </w:pPr>
      <w:r>
        <w:t>References</w:t>
      </w:r>
      <w:r>
        <w:tab/>
      </w:r>
      <w:r>
        <w:fldChar w:fldCharType="begin"/>
      </w:r>
      <w:r>
        <w:instrText xml:space="preserve"> PAGEREF _Toc80543140 \h </w:instrText>
      </w:r>
      <w:r>
        <w:fldChar w:fldCharType="separate"/>
      </w:r>
      <w:r w:rsidR="006700C9">
        <w:t>14</w:t>
      </w:r>
      <w:r>
        <w:fldChar w:fldCharType="end"/>
      </w:r>
    </w:p>
    <w:p w14:paraId="4E042E2B" w14:textId="77777777" w:rsidR="001C0D1C" w:rsidRDefault="00F039DE">
      <w:pPr>
        <w:pStyle w:val="TOCHeading2"/>
      </w:pPr>
      <w:r>
        <w:rPr>
          <w:rFonts w:asciiTheme="minorHAnsi" w:eastAsiaTheme="minorHAnsi" w:hAnsiTheme="minorHAnsi" w:cstheme="minorBidi"/>
          <w:noProof/>
          <w:color w:val="auto"/>
          <w:sz w:val="22"/>
          <w:szCs w:val="24"/>
          <w:lang w:val="en-AU"/>
        </w:rPr>
        <w:fldChar w:fldCharType="end"/>
      </w:r>
      <w:r>
        <w:t>Figures</w:t>
      </w:r>
    </w:p>
    <w:p w14:paraId="4E042E2C" w14:textId="1CD469DA" w:rsidR="002608AA" w:rsidRDefault="00F039DE">
      <w:pPr>
        <w:pStyle w:val="TableofFigures"/>
        <w:tabs>
          <w:tab w:val="right" w:leader="dot" w:pos="9060"/>
        </w:tabs>
        <w:rPr>
          <w:rFonts w:eastAsiaTheme="minorEastAsia"/>
          <w:noProof/>
          <w:lang w:eastAsia="en-AU"/>
        </w:rPr>
      </w:pPr>
      <w:r>
        <w:fldChar w:fldCharType="begin"/>
      </w:r>
      <w:r>
        <w:instrText xml:space="preserve"> TOC \c "Figure" </w:instrText>
      </w:r>
      <w:r>
        <w:fldChar w:fldCharType="separate"/>
      </w:r>
      <w:r>
        <w:rPr>
          <w:noProof/>
        </w:rPr>
        <w:t xml:space="preserve">Figure 1 </w:t>
      </w:r>
      <w:r>
        <w:rPr>
          <w:noProof/>
          <w:lang w:eastAsia="en-AU"/>
        </w:rPr>
        <w:t>Structure of picloram</w:t>
      </w:r>
      <w:r>
        <w:rPr>
          <w:noProof/>
        </w:rPr>
        <w:tab/>
      </w:r>
      <w:r>
        <w:rPr>
          <w:noProof/>
        </w:rPr>
        <w:fldChar w:fldCharType="begin"/>
      </w:r>
      <w:r>
        <w:rPr>
          <w:noProof/>
        </w:rPr>
        <w:instrText xml:space="preserve"> PAGEREF _Toc80543141 \h </w:instrText>
      </w:r>
      <w:r>
        <w:rPr>
          <w:noProof/>
        </w:rPr>
      </w:r>
      <w:r>
        <w:rPr>
          <w:noProof/>
        </w:rPr>
        <w:fldChar w:fldCharType="separate"/>
      </w:r>
      <w:r w:rsidR="006700C9">
        <w:rPr>
          <w:noProof/>
        </w:rPr>
        <w:t>1</w:t>
      </w:r>
      <w:r>
        <w:rPr>
          <w:noProof/>
        </w:rPr>
        <w:fldChar w:fldCharType="end"/>
      </w:r>
    </w:p>
    <w:p w14:paraId="4E042E2D" w14:textId="03A75ABA" w:rsidR="002608AA" w:rsidRDefault="00F039DE">
      <w:pPr>
        <w:pStyle w:val="TableofFigures"/>
        <w:tabs>
          <w:tab w:val="right" w:leader="dot" w:pos="9060"/>
        </w:tabs>
        <w:rPr>
          <w:rFonts w:eastAsiaTheme="minorEastAsia"/>
          <w:noProof/>
          <w:lang w:eastAsia="en-AU"/>
        </w:rPr>
      </w:pPr>
      <w:r>
        <w:rPr>
          <w:noProof/>
        </w:rPr>
        <w:t>Figure 2 Species sensitivity distribution, picloram in freshwater</w:t>
      </w:r>
      <w:r>
        <w:rPr>
          <w:noProof/>
        </w:rPr>
        <w:tab/>
      </w:r>
      <w:r>
        <w:rPr>
          <w:noProof/>
        </w:rPr>
        <w:fldChar w:fldCharType="begin"/>
      </w:r>
      <w:r>
        <w:rPr>
          <w:noProof/>
        </w:rPr>
        <w:instrText xml:space="preserve"> PAGEREF _Toc80543142 \h </w:instrText>
      </w:r>
      <w:r>
        <w:rPr>
          <w:noProof/>
        </w:rPr>
      </w:r>
      <w:r>
        <w:rPr>
          <w:noProof/>
        </w:rPr>
        <w:fldChar w:fldCharType="separate"/>
      </w:r>
      <w:r w:rsidR="006700C9">
        <w:rPr>
          <w:noProof/>
        </w:rPr>
        <w:t>6</w:t>
      </w:r>
      <w:r>
        <w:rPr>
          <w:noProof/>
        </w:rPr>
        <w:fldChar w:fldCharType="end"/>
      </w:r>
    </w:p>
    <w:p w14:paraId="4E042E2E" w14:textId="77777777" w:rsidR="001C0D1C" w:rsidRPr="001B767B" w:rsidRDefault="00F039DE">
      <w:pPr>
        <w:pStyle w:val="TOCHeading2"/>
        <w:rPr>
          <w:rFonts w:ascii="Cambria" w:hAnsi="Cambria"/>
          <w:color w:val="auto"/>
          <w:sz w:val="22"/>
          <w:szCs w:val="24"/>
        </w:rPr>
      </w:pPr>
      <w:r>
        <w:rPr>
          <w:rFonts w:ascii="Cambria" w:hAnsi="Cambria"/>
          <w:color w:val="auto"/>
          <w:sz w:val="22"/>
          <w:szCs w:val="24"/>
        </w:rPr>
        <w:fldChar w:fldCharType="end"/>
      </w:r>
      <w:r>
        <w:t>Tables</w:t>
      </w:r>
    </w:p>
    <w:p w14:paraId="4E042E2F" w14:textId="108CAE00" w:rsidR="002608AA" w:rsidRDefault="00F039DE">
      <w:pPr>
        <w:pStyle w:val="TableofFigures"/>
        <w:tabs>
          <w:tab w:val="right" w:leader="dot" w:pos="906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Pr>
          <w:noProof/>
        </w:rPr>
        <w:t>Table 1 Summary of single toxicity values, all species used to derive the default guideline values for picloram in freshwater</w:t>
      </w:r>
      <w:r>
        <w:rPr>
          <w:noProof/>
        </w:rPr>
        <w:tab/>
      </w:r>
      <w:r>
        <w:rPr>
          <w:noProof/>
        </w:rPr>
        <w:fldChar w:fldCharType="begin"/>
      </w:r>
      <w:r>
        <w:rPr>
          <w:noProof/>
        </w:rPr>
        <w:instrText xml:space="preserve"> PAGEREF _Toc80543143 \h </w:instrText>
      </w:r>
      <w:r>
        <w:rPr>
          <w:noProof/>
        </w:rPr>
      </w:r>
      <w:r>
        <w:rPr>
          <w:noProof/>
        </w:rPr>
        <w:fldChar w:fldCharType="separate"/>
      </w:r>
      <w:r w:rsidR="006700C9">
        <w:rPr>
          <w:noProof/>
        </w:rPr>
        <w:t>5</w:t>
      </w:r>
      <w:r>
        <w:rPr>
          <w:noProof/>
        </w:rPr>
        <w:fldChar w:fldCharType="end"/>
      </w:r>
    </w:p>
    <w:p w14:paraId="4E042E30" w14:textId="7EF67674" w:rsidR="002608AA" w:rsidRDefault="00F039DE">
      <w:pPr>
        <w:pStyle w:val="TableofFigures"/>
        <w:tabs>
          <w:tab w:val="right" w:leader="dot" w:pos="9060"/>
        </w:tabs>
        <w:rPr>
          <w:rFonts w:eastAsiaTheme="minorEastAsia"/>
          <w:noProof/>
          <w:lang w:eastAsia="en-AU"/>
        </w:rPr>
      </w:pPr>
      <w:r>
        <w:rPr>
          <w:noProof/>
        </w:rPr>
        <w:t>Table 2 Toxicant default guideline values, picloram in freshwater, low reliability</w:t>
      </w:r>
      <w:r>
        <w:rPr>
          <w:noProof/>
        </w:rPr>
        <w:tab/>
      </w:r>
      <w:r>
        <w:rPr>
          <w:noProof/>
        </w:rPr>
        <w:fldChar w:fldCharType="begin"/>
      </w:r>
      <w:r>
        <w:rPr>
          <w:noProof/>
        </w:rPr>
        <w:instrText xml:space="preserve"> PAGEREF _Toc80543144 \h </w:instrText>
      </w:r>
      <w:r>
        <w:rPr>
          <w:noProof/>
        </w:rPr>
      </w:r>
      <w:r>
        <w:rPr>
          <w:noProof/>
        </w:rPr>
        <w:fldChar w:fldCharType="separate"/>
      </w:r>
      <w:r w:rsidR="006700C9">
        <w:rPr>
          <w:noProof/>
        </w:rPr>
        <w:t>7</w:t>
      </w:r>
      <w:r>
        <w:rPr>
          <w:noProof/>
        </w:rPr>
        <w:fldChar w:fldCharType="end"/>
      </w:r>
    </w:p>
    <w:p w14:paraId="4E042E31" w14:textId="77777777" w:rsidR="0019607B" w:rsidRDefault="00F039DE" w:rsidP="0019607B">
      <w:pPr>
        <w:pStyle w:val="TOCHeading2"/>
        <w:rPr>
          <w:bCs w:val="0"/>
          <w:szCs w:val="24"/>
        </w:rPr>
      </w:pPr>
      <w:r>
        <w:fldChar w:fldCharType="end"/>
      </w:r>
      <w:r>
        <w:rPr>
          <w:bCs w:val="0"/>
          <w:szCs w:val="24"/>
        </w:rPr>
        <w:t>Appendix figures</w:t>
      </w:r>
    </w:p>
    <w:p w14:paraId="4E042E32" w14:textId="25BAC871" w:rsidR="002608AA" w:rsidRDefault="00F039DE">
      <w:pPr>
        <w:pStyle w:val="TableofFigures"/>
        <w:tabs>
          <w:tab w:val="right" w:leader="dot" w:pos="9060"/>
        </w:tabs>
        <w:rPr>
          <w:rFonts w:eastAsiaTheme="minorEastAsia"/>
          <w:noProof/>
          <w:lang w:eastAsia="en-AU"/>
        </w:rPr>
      </w:pPr>
      <w:r>
        <w:fldChar w:fldCharType="begin"/>
      </w:r>
      <w:r>
        <w:instrText xml:space="preserve"> TOC \c "Figure B" </w:instrText>
      </w:r>
      <w:r>
        <w:fldChar w:fldCharType="separate"/>
      </w:r>
      <w:r>
        <w:rPr>
          <w:noProof/>
        </w:rPr>
        <w:t>Figure B 1 Histogram, raw (left) and log transformed (right) data</w:t>
      </w:r>
      <w:r>
        <w:rPr>
          <w:noProof/>
        </w:rPr>
        <w:tab/>
      </w:r>
      <w:r>
        <w:rPr>
          <w:noProof/>
        </w:rPr>
        <w:fldChar w:fldCharType="begin"/>
      </w:r>
      <w:r>
        <w:rPr>
          <w:noProof/>
        </w:rPr>
        <w:instrText xml:space="preserve"> PAGEREF _Toc80543145 \h </w:instrText>
      </w:r>
      <w:r>
        <w:rPr>
          <w:noProof/>
        </w:rPr>
      </w:r>
      <w:r>
        <w:rPr>
          <w:noProof/>
        </w:rPr>
        <w:fldChar w:fldCharType="separate"/>
      </w:r>
      <w:r w:rsidR="006700C9">
        <w:rPr>
          <w:noProof/>
        </w:rPr>
        <w:t>11</w:t>
      </w:r>
      <w:r>
        <w:rPr>
          <w:noProof/>
        </w:rPr>
        <w:fldChar w:fldCharType="end"/>
      </w:r>
    </w:p>
    <w:p w14:paraId="4E042E33" w14:textId="1C985CAB" w:rsidR="002608AA" w:rsidRDefault="00F039DE">
      <w:pPr>
        <w:pStyle w:val="TableofFigures"/>
        <w:tabs>
          <w:tab w:val="right" w:leader="dot" w:pos="9060"/>
        </w:tabs>
        <w:rPr>
          <w:rFonts w:eastAsiaTheme="minorEastAsia"/>
          <w:noProof/>
          <w:lang w:eastAsia="en-AU"/>
        </w:rPr>
      </w:pPr>
      <w:r>
        <w:rPr>
          <w:noProof/>
        </w:rPr>
        <w:t>Figure B 2 Box plots, raw (left) and log transformed (right) data grouped by major types of</w:t>
      </w:r>
      <w:r>
        <w:rPr>
          <w:noProof/>
        </w:rPr>
        <w:br/>
        <w:t>organisms</w:t>
      </w:r>
      <w:r>
        <w:rPr>
          <w:noProof/>
        </w:rPr>
        <w:tab/>
      </w:r>
      <w:r>
        <w:rPr>
          <w:noProof/>
        </w:rPr>
        <w:fldChar w:fldCharType="begin"/>
      </w:r>
      <w:r>
        <w:rPr>
          <w:noProof/>
        </w:rPr>
        <w:instrText xml:space="preserve"> PAGEREF _Toc80543146 \h </w:instrText>
      </w:r>
      <w:r>
        <w:rPr>
          <w:noProof/>
        </w:rPr>
      </w:r>
      <w:r>
        <w:rPr>
          <w:noProof/>
        </w:rPr>
        <w:fldChar w:fldCharType="separate"/>
      </w:r>
      <w:r w:rsidR="006700C9">
        <w:rPr>
          <w:noProof/>
        </w:rPr>
        <w:t>12</w:t>
      </w:r>
      <w:r>
        <w:rPr>
          <w:noProof/>
        </w:rPr>
        <w:fldChar w:fldCharType="end"/>
      </w:r>
    </w:p>
    <w:p w14:paraId="4E042E34" w14:textId="3E5266B5" w:rsidR="0019607B" w:rsidRPr="008D4C30" w:rsidRDefault="00F039DE" w:rsidP="0019607B">
      <w:pPr>
        <w:pStyle w:val="TableofFigures"/>
        <w:tabs>
          <w:tab w:val="right" w:leader="dot" w:pos="9060"/>
        </w:tabs>
        <w:rPr>
          <w:lang w:val="en-US"/>
        </w:rPr>
      </w:pPr>
      <w:r>
        <w:rPr>
          <w:noProof/>
        </w:rPr>
        <w:t>Figure B 3 Box plots, raw (left) and log transformed (right) data grouped by autotrophs and heterotrophs</w:t>
      </w:r>
      <w:r>
        <w:rPr>
          <w:noProof/>
        </w:rPr>
        <w:tab/>
      </w:r>
      <w:r>
        <w:rPr>
          <w:noProof/>
        </w:rPr>
        <w:fldChar w:fldCharType="begin"/>
      </w:r>
      <w:r>
        <w:rPr>
          <w:noProof/>
        </w:rPr>
        <w:instrText xml:space="preserve"> PAGEREF _Toc80543147 \h </w:instrText>
      </w:r>
      <w:r>
        <w:rPr>
          <w:noProof/>
        </w:rPr>
      </w:r>
      <w:r>
        <w:rPr>
          <w:noProof/>
        </w:rPr>
        <w:fldChar w:fldCharType="separate"/>
      </w:r>
      <w:r w:rsidR="006700C9">
        <w:rPr>
          <w:noProof/>
        </w:rPr>
        <w:t>12</w:t>
      </w:r>
      <w:r>
        <w:rPr>
          <w:noProof/>
        </w:rPr>
        <w:fldChar w:fldCharType="end"/>
      </w:r>
      <w:r>
        <w:rPr>
          <w:b/>
          <w:bCs/>
          <w:noProof/>
          <w:lang w:val="en-US"/>
        </w:rPr>
        <w:fldChar w:fldCharType="end"/>
      </w:r>
    </w:p>
    <w:p w14:paraId="4E042E35" w14:textId="77777777" w:rsidR="0019607B" w:rsidRDefault="00F039DE" w:rsidP="0019607B">
      <w:pPr>
        <w:pStyle w:val="TOCHeading2"/>
        <w:keepNext/>
        <w:keepLines/>
        <w:rPr>
          <w:bCs w:val="0"/>
          <w:szCs w:val="24"/>
        </w:rPr>
      </w:pPr>
      <w:r>
        <w:rPr>
          <w:bCs w:val="0"/>
          <w:szCs w:val="24"/>
        </w:rPr>
        <w:t>Appendix tables</w:t>
      </w:r>
    </w:p>
    <w:p w14:paraId="4E042E36" w14:textId="463D3CC7" w:rsidR="002608AA" w:rsidRDefault="00F039DE">
      <w:pPr>
        <w:pStyle w:val="TableofFigures"/>
        <w:tabs>
          <w:tab w:val="right" w:leader="dot" w:pos="9060"/>
        </w:tabs>
        <w:rPr>
          <w:rFonts w:eastAsiaTheme="minorEastAsia"/>
          <w:noProof/>
          <w:lang w:eastAsia="en-AU"/>
        </w:rPr>
      </w:pPr>
      <w:r>
        <w:rPr>
          <w:bCs/>
        </w:rPr>
        <w:fldChar w:fldCharType="begin"/>
      </w:r>
      <w:r>
        <w:rPr>
          <w:bCs/>
        </w:rPr>
        <w:instrText xml:space="preserve"> TOC \h \z \c "Table A" </w:instrText>
      </w:r>
      <w:r>
        <w:rPr>
          <w:bCs/>
        </w:rPr>
        <w:fldChar w:fldCharType="separate"/>
      </w:r>
      <w:hyperlink w:anchor="_Toc80543148" w:history="1">
        <w:r w:rsidRPr="00940954">
          <w:rPr>
            <w:rStyle w:val="Hyperlink"/>
            <w:noProof/>
          </w:rPr>
          <w:t xml:space="preserve">Table A 1 </w:t>
        </w:r>
        <w:r w:rsidRPr="00940954">
          <w:rPr>
            <w:rStyle w:val="Hyperlink"/>
            <w:noProof/>
            <w:lang w:eastAsia="ja-JP"/>
          </w:rPr>
          <w:t>Summary, toxicity data that passed the screening and quality assurance processes, picloram in freshwater</w:t>
        </w:r>
        <w:r>
          <w:rPr>
            <w:noProof/>
            <w:webHidden/>
          </w:rPr>
          <w:tab/>
        </w:r>
        <w:r>
          <w:rPr>
            <w:noProof/>
            <w:webHidden/>
          </w:rPr>
          <w:fldChar w:fldCharType="begin"/>
        </w:r>
        <w:r>
          <w:rPr>
            <w:noProof/>
            <w:webHidden/>
          </w:rPr>
          <w:instrText xml:space="preserve"> PAGEREF _Toc80543148 \h </w:instrText>
        </w:r>
        <w:r>
          <w:rPr>
            <w:noProof/>
            <w:webHidden/>
          </w:rPr>
        </w:r>
        <w:r>
          <w:rPr>
            <w:noProof/>
            <w:webHidden/>
          </w:rPr>
          <w:fldChar w:fldCharType="separate"/>
        </w:r>
        <w:r w:rsidR="006700C9">
          <w:rPr>
            <w:noProof/>
            <w:webHidden/>
          </w:rPr>
          <w:t>9</w:t>
        </w:r>
        <w:r>
          <w:rPr>
            <w:noProof/>
            <w:webHidden/>
          </w:rPr>
          <w:fldChar w:fldCharType="end"/>
        </w:r>
      </w:hyperlink>
    </w:p>
    <w:p w14:paraId="4E042E37" w14:textId="77777777" w:rsidR="00401C43" w:rsidRDefault="00F039DE" w:rsidP="0019607B">
      <w:r>
        <w:rPr>
          <w:bCs/>
        </w:rPr>
        <w:fldChar w:fldCharType="end"/>
      </w:r>
      <w:r>
        <w:br w:type="page"/>
      </w:r>
    </w:p>
    <w:p w14:paraId="4E042E38" w14:textId="77777777" w:rsidR="001C0D1C" w:rsidRDefault="00F039DE" w:rsidP="00DE1BC0">
      <w:pPr>
        <w:pStyle w:val="Heading2"/>
        <w:numPr>
          <w:ilvl w:val="0"/>
          <w:numId w:val="0"/>
        </w:numPr>
        <w:ind w:left="680" w:hanging="680"/>
      </w:pPr>
      <w:bookmarkStart w:id="0" w:name="_Toc80543126"/>
      <w:r>
        <w:lastRenderedPageBreak/>
        <w:t>Summary</w:t>
      </w:r>
      <w:bookmarkEnd w:id="0"/>
    </w:p>
    <w:p w14:paraId="4E042E39" w14:textId="77777777" w:rsidR="00511E82" w:rsidRDefault="00C46B77" w:rsidP="00B535D5">
      <w:pPr>
        <w:spacing w:after="160" w:line="264" w:lineRule="auto"/>
      </w:pPr>
      <w:sdt>
        <w:sdtPr>
          <w:alias w:val="Compulsary - text and location locked to Summary"/>
          <w:tag w:val="Compulsary text"/>
          <w:id w:val="1355157788"/>
          <w:lock w:val="contentLocked"/>
          <w:placeholder>
            <w:docPart w:val="D524006F25E6F947965B11806CFF4A5B"/>
          </w:placeholder>
          <w:text/>
        </w:sdtPr>
        <w:sdtEndPr/>
        <w:sdtContent>
          <w:r w:rsidR="00F039DE"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4E042E3A" w14:textId="77777777" w:rsidR="003D182F" w:rsidRPr="003D182F" w:rsidRDefault="00F039DE" w:rsidP="003D182F">
      <w:pPr>
        <w:rPr>
          <w:bCs/>
        </w:rPr>
      </w:pPr>
      <w:r w:rsidRPr="003D182F">
        <w:rPr>
          <w:bCs/>
        </w:rPr>
        <w:t>Picloram (C</w:t>
      </w:r>
      <w:r w:rsidRPr="00151B70">
        <w:rPr>
          <w:bCs/>
          <w:vertAlign w:val="subscript"/>
        </w:rPr>
        <w:t>6</w:t>
      </w:r>
      <w:r w:rsidRPr="003D182F">
        <w:rPr>
          <w:bCs/>
        </w:rPr>
        <w:t>H</w:t>
      </w:r>
      <w:r w:rsidRPr="00151B70">
        <w:rPr>
          <w:bCs/>
          <w:vertAlign w:val="subscript"/>
        </w:rPr>
        <w:t>3</w:t>
      </w:r>
      <w:r w:rsidRPr="003D182F">
        <w:rPr>
          <w:bCs/>
        </w:rPr>
        <w:t>Cl</w:t>
      </w:r>
      <w:r w:rsidRPr="00151B70">
        <w:rPr>
          <w:bCs/>
          <w:vertAlign w:val="subscript"/>
        </w:rPr>
        <w:t>13</w:t>
      </w:r>
      <w:r w:rsidRPr="003D182F">
        <w:rPr>
          <w:bCs/>
        </w:rPr>
        <w:t>N</w:t>
      </w:r>
      <w:r w:rsidRPr="00151B70">
        <w:rPr>
          <w:bCs/>
          <w:vertAlign w:val="subscript"/>
        </w:rPr>
        <w:t>2</w:t>
      </w:r>
      <w:r w:rsidRPr="003D182F">
        <w:rPr>
          <w:bCs/>
        </w:rPr>
        <w:t>O</w:t>
      </w:r>
      <w:r w:rsidRPr="00151B70">
        <w:rPr>
          <w:bCs/>
          <w:vertAlign w:val="subscript"/>
        </w:rPr>
        <w:t>2</w:t>
      </w:r>
      <w:r w:rsidRPr="003D182F">
        <w:rPr>
          <w:bCs/>
        </w:rPr>
        <w:t>) is a pyridine herbicide used since the 1960s for the control of annual and perennial broadleaf weeds in winter cereal and linseed crops, as well as for the control of noxious</w:t>
      </w:r>
      <w:r w:rsidR="0065768B">
        <w:rPr>
          <w:bCs/>
        </w:rPr>
        <w:t>,</w:t>
      </w:r>
      <w:r w:rsidRPr="003D182F">
        <w:rPr>
          <w:bCs/>
        </w:rPr>
        <w:t xml:space="preserve"> woody and herbaceous weeds in rights-of-way, forestry, pastures and non-crops areas</w:t>
      </w:r>
      <w:r w:rsidR="0087033B">
        <w:rPr>
          <w:bCs/>
        </w:rPr>
        <w:t xml:space="preserve"> (APVMA 2015)</w:t>
      </w:r>
      <w:r w:rsidRPr="003D182F">
        <w:rPr>
          <w:bCs/>
        </w:rPr>
        <w:t xml:space="preserve">. Picloram is used </w:t>
      </w:r>
      <w:r w:rsidR="009F6D5A">
        <w:rPr>
          <w:bCs/>
        </w:rPr>
        <w:t xml:space="preserve">as a herbicide </w:t>
      </w:r>
      <w:r w:rsidRPr="003D182F">
        <w:rPr>
          <w:bCs/>
        </w:rPr>
        <w:t>in a number of forms</w:t>
      </w:r>
      <w:r w:rsidR="009F6D5A">
        <w:rPr>
          <w:bCs/>
        </w:rPr>
        <w:t>, including</w:t>
      </w:r>
      <w:r w:rsidR="009F6D5A" w:rsidRPr="003D182F">
        <w:rPr>
          <w:bCs/>
        </w:rPr>
        <w:t xml:space="preserve"> </w:t>
      </w:r>
      <w:r w:rsidRPr="003D182F">
        <w:rPr>
          <w:bCs/>
        </w:rPr>
        <w:t xml:space="preserve">salts and an isooctyl ester </w:t>
      </w:r>
      <w:r w:rsidR="0087033B">
        <w:rPr>
          <w:bCs/>
        </w:rPr>
        <w:t>(Cox 1998</w:t>
      </w:r>
      <w:r w:rsidR="00D97E42">
        <w:rPr>
          <w:bCs/>
        </w:rPr>
        <w:t>,</w:t>
      </w:r>
      <w:r w:rsidR="0087033B">
        <w:rPr>
          <w:bCs/>
        </w:rPr>
        <w:t xml:space="preserve"> APVMA 2015, </w:t>
      </w:r>
      <w:r w:rsidR="009F6D5A">
        <w:rPr>
          <w:bCs/>
        </w:rPr>
        <w:t>2020</w:t>
      </w:r>
      <w:r w:rsidR="00C17D60">
        <w:rPr>
          <w:bCs/>
        </w:rPr>
        <w:t>a</w:t>
      </w:r>
      <w:r w:rsidR="0087033B">
        <w:rPr>
          <w:bCs/>
        </w:rPr>
        <w:t>)</w:t>
      </w:r>
      <w:r w:rsidRPr="003D182F">
        <w:rPr>
          <w:bCs/>
        </w:rPr>
        <w:t>.</w:t>
      </w:r>
    </w:p>
    <w:p w14:paraId="4E042E3B" w14:textId="77777777" w:rsidR="0085372F" w:rsidRPr="003D182F" w:rsidRDefault="00F039DE" w:rsidP="0085372F">
      <w:pPr>
        <w:rPr>
          <w:bCs/>
        </w:rPr>
      </w:pPr>
      <w:r w:rsidRPr="003D182F">
        <w:rPr>
          <w:bCs/>
        </w:rPr>
        <w:t xml:space="preserve">Picloram is a systemic herbicide that mimics </w:t>
      </w:r>
      <w:r w:rsidR="000F3D64">
        <w:rPr>
          <w:bCs/>
        </w:rPr>
        <w:t xml:space="preserve">the </w:t>
      </w:r>
      <w:r w:rsidRPr="003D182F">
        <w:rPr>
          <w:bCs/>
        </w:rPr>
        <w:t>plant growth hormone</w:t>
      </w:r>
      <w:r w:rsidR="000F3D64">
        <w:rPr>
          <w:bCs/>
        </w:rPr>
        <w:t xml:space="preserve"> auxin</w:t>
      </w:r>
      <w:r w:rsidRPr="003D182F">
        <w:rPr>
          <w:bCs/>
        </w:rPr>
        <w:t>, causing uncontrolled and disorganised growth, leading to plant death</w:t>
      </w:r>
      <w:r w:rsidR="00151B70">
        <w:rPr>
          <w:bCs/>
        </w:rPr>
        <w:t xml:space="preserve"> </w:t>
      </w:r>
      <w:r w:rsidR="0087033B">
        <w:rPr>
          <w:bCs/>
        </w:rPr>
        <w:t>(Tu et al. 2001)</w:t>
      </w:r>
      <w:r w:rsidRPr="003D182F">
        <w:rPr>
          <w:bCs/>
        </w:rPr>
        <w:t>. Picloram is dicotyledon</w:t>
      </w:r>
      <w:r w:rsidR="002254E2">
        <w:rPr>
          <w:bCs/>
        </w:rPr>
        <w:t>-</w:t>
      </w:r>
      <w:r w:rsidRPr="003D182F">
        <w:rPr>
          <w:bCs/>
        </w:rPr>
        <w:t xml:space="preserve">selective, and </w:t>
      </w:r>
      <w:r w:rsidR="002254E2">
        <w:rPr>
          <w:bCs/>
        </w:rPr>
        <w:t xml:space="preserve">it </w:t>
      </w:r>
      <w:r w:rsidRPr="003D182F">
        <w:rPr>
          <w:bCs/>
        </w:rPr>
        <w:t>has low or no activity towards monocotyledons</w:t>
      </w:r>
      <w:r w:rsidR="0087033B">
        <w:rPr>
          <w:bCs/>
        </w:rPr>
        <w:t xml:space="preserve"> (Cox 1998</w:t>
      </w:r>
      <w:r w:rsidR="00D97E42">
        <w:rPr>
          <w:bCs/>
        </w:rPr>
        <w:t>,</w:t>
      </w:r>
      <w:r w:rsidR="0087033B">
        <w:rPr>
          <w:bCs/>
        </w:rPr>
        <w:t xml:space="preserve"> FWPRDC 2006</w:t>
      </w:r>
      <w:r w:rsidR="00D97E42">
        <w:rPr>
          <w:bCs/>
        </w:rPr>
        <w:t>,</w:t>
      </w:r>
      <w:r w:rsidR="0087033B">
        <w:rPr>
          <w:bCs/>
        </w:rPr>
        <w:t xml:space="preserve"> EFSA 2009)</w:t>
      </w:r>
      <w:r w:rsidRPr="003D182F">
        <w:rPr>
          <w:bCs/>
        </w:rPr>
        <w:t>.</w:t>
      </w:r>
      <w:r w:rsidR="00836A53">
        <w:rPr>
          <w:bCs/>
        </w:rPr>
        <w:t xml:space="preserve"> </w:t>
      </w:r>
    </w:p>
    <w:p w14:paraId="4E042E3C" w14:textId="77777777" w:rsidR="003D182F" w:rsidRDefault="00F039DE" w:rsidP="003D182F">
      <w:pPr>
        <w:rPr>
          <w:bCs/>
        </w:rPr>
      </w:pPr>
      <w:r w:rsidRPr="003D182F">
        <w:rPr>
          <w:bCs/>
        </w:rPr>
        <w:t xml:space="preserve">Picloram does not bind strongly to soil. This, combined with </w:t>
      </w:r>
      <w:r w:rsidR="0085372F">
        <w:rPr>
          <w:bCs/>
        </w:rPr>
        <w:t xml:space="preserve">its </w:t>
      </w:r>
      <w:r w:rsidRPr="003D182F">
        <w:rPr>
          <w:bCs/>
        </w:rPr>
        <w:t xml:space="preserve">high solubility and low rate of degradation in soil, </w:t>
      </w:r>
      <w:r w:rsidR="00362DD5">
        <w:rPr>
          <w:bCs/>
        </w:rPr>
        <w:t xml:space="preserve">may </w:t>
      </w:r>
      <w:r w:rsidRPr="003D182F">
        <w:rPr>
          <w:bCs/>
        </w:rPr>
        <w:t xml:space="preserve">result in </w:t>
      </w:r>
      <w:r w:rsidR="00362DD5">
        <w:rPr>
          <w:bCs/>
        </w:rPr>
        <w:t xml:space="preserve">runoff to </w:t>
      </w:r>
      <w:r w:rsidR="00362DD5" w:rsidRPr="003D182F">
        <w:rPr>
          <w:bCs/>
        </w:rPr>
        <w:t>surface water</w:t>
      </w:r>
      <w:r w:rsidR="00362DD5">
        <w:rPr>
          <w:bCs/>
        </w:rPr>
        <w:t xml:space="preserve"> and </w:t>
      </w:r>
      <w:r w:rsidRPr="003D182F">
        <w:rPr>
          <w:bCs/>
        </w:rPr>
        <w:t>leach</w:t>
      </w:r>
      <w:r w:rsidR="00362DD5">
        <w:rPr>
          <w:bCs/>
        </w:rPr>
        <w:t>ing</w:t>
      </w:r>
      <w:r w:rsidRPr="003D182F">
        <w:rPr>
          <w:bCs/>
        </w:rPr>
        <w:t xml:space="preserve"> to groundwater</w:t>
      </w:r>
      <w:r w:rsidR="009421B9">
        <w:rPr>
          <w:bCs/>
        </w:rPr>
        <w:t xml:space="preserve"> </w:t>
      </w:r>
      <w:r w:rsidR="0087033B">
        <w:rPr>
          <w:bCs/>
        </w:rPr>
        <w:t>(USEPA 1995</w:t>
      </w:r>
      <w:r w:rsidR="00D97E42">
        <w:rPr>
          <w:bCs/>
        </w:rPr>
        <w:t>,</w:t>
      </w:r>
      <w:r w:rsidR="0087033B">
        <w:rPr>
          <w:bCs/>
        </w:rPr>
        <w:t xml:space="preserve"> Tu et al. 2001</w:t>
      </w:r>
      <w:r w:rsidR="00D97E42">
        <w:rPr>
          <w:bCs/>
        </w:rPr>
        <w:t>,</w:t>
      </w:r>
      <w:r w:rsidR="0087033B">
        <w:rPr>
          <w:bCs/>
        </w:rPr>
        <w:t xml:space="preserve"> EFSA 2009</w:t>
      </w:r>
      <w:r w:rsidR="00D97E42">
        <w:rPr>
          <w:bCs/>
        </w:rPr>
        <w:t>,</w:t>
      </w:r>
      <w:r w:rsidR="0087033B">
        <w:rPr>
          <w:bCs/>
        </w:rPr>
        <w:t xml:space="preserve"> </w:t>
      </w:r>
      <w:r w:rsidR="00D97E42">
        <w:rPr>
          <w:bCs/>
        </w:rPr>
        <w:t xml:space="preserve">APVMA 2015, </w:t>
      </w:r>
      <w:r w:rsidR="00B621A2">
        <w:rPr>
          <w:bCs/>
        </w:rPr>
        <w:t>NCBI 2020</w:t>
      </w:r>
      <w:r w:rsidR="0087033B">
        <w:rPr>
          <w:bCs/>
        </w:rPr>
        <w:t>)</w:t>
      </w:r>
      <w:r w:rsidRPr="003D182F">
        <w:rPr>
          <w:bCs/>
        </w:rPr>
        <w:t>. Picloram has a low potential to bioaccumulate</w:t>
      </w:r>
      <w:r w:rsidR="0087033B">
        <w:rPr>
          <w:bCs/>
        </w:rPr>
        <w:t xml:space="preserve"> (USEPA 1995</w:t>
      </w:r>
      <w:r w:rsidR="00D97E42">
        <w:rPr>
          <w:bCs/>
        </w:rPr>
        <w:t>,</w:t>
      </w:r>
      <w:r w:rsidR="0087033B">
        <w:rPr>
          <w:bCs/>
        </w:rPr>
        <w:t xml:space="preserve"> </w:t>
      </w:r>
      <w:r w:rsidR="00AD3582">
        <w:rPr>
          <w:bCs/>
        </w:rPr>
        <w:t>EFSA 2009</w:t>
      </w:r>
      <w:r w:rsidR="00D97E42">
        <w:rPr>
          <w:bCs/>
        </w:rPr>
        <w:t>,</w:t>
      </w:r>
      <w:r w:rsidR="00AD3582">
        <w:rPr>
          <w:bCs/>
        </w:rPr>
        <w:t xml:space="preserve"> </w:t>
      </w:r>
      <w:r w:rsidR="00D97E42">
        <w:rPr>
          <w:bCs/>
        </w:rPr>
        <w:t xml:space="preserve">FAO 2012, </w:t>
      </w:r>
      <w:r w:rsidR="00B621A2">
        <w:rPr>
          <w:bCs/>
        </w:rPr>
        <w:t>NCBI 2020</w:t>
      </w:r>
      <w:r w:rsidR="00AD3582">
        <w:rPr>
          <w:bCs/>
        </w:rPr>
        <w:t>)</w:t>
      </w:r>
      <w:r w:rsidRPr="003D182F">
        <w:rPr>
          <w:bCs/>
        </w:rPr>
        <w:t>.</w:t>
      </w:r>
    </w:p>
    <w:p w14:paraId="4E042E3D" w14:textId="77777777" w:rsidR="00092AB3" w:rsidRPr="003D182F" w:rsidRDefault="00F039DE" w:rsidP="003D182F">
      <w:pPr>
        <w:rPr>
          <w:bCs/>
        </w:rPr>
      </w:pPr>
      <w:r>
        <w:rPr>
          <w:bCs/>
        </w:rPr>
        <w:t>As picloram</w:t>
      </w:r>
      <w:r w:rsidRPr="0043564A">
        <w:rPr>
          <w:bCs/>
        </w:rPr>
        <w:t xml:space="preserve"> </w:t>
      </w:r>
      <w:r>
        <w:rPr>
          <w:bCs/>
        </w:rPr>
        <w:t>is dicotyledon-selective, it may be</w:t>
      </w:r>
      <w:r w:rsidRPr="0043564A">
        <w:rPr>
          <w:bCs/>
        </w:rPr>
        <w:t xml:space="preserve"> more toxic to </w:t>
      </w:r>
      <w:r w:rsidRPr="00AE39A9">
        <w:rPr>
          <w:bCs/>
        </w:rPr>
        <w:t>dicotyledon aquatic plants than</w:t>
      </w:r>
      <w:r>
        <w:rPr>
          <w:bCs/>
        </w:rPr>
        <w:t xml:space="preserve"> to</w:t>
      </w:r>
      <w:r w:rsidRPr="00AE39A9">
        <w:rPr>
          <w:bCs/>
        </w:rPr>
        <w:t xml:space="preserve"> other aquatic receptors. </w:t>
      </w:r>
      <w:r>
        <w:rPr>
          <w:bCs/>
        </w:rPr>
        <w:t>H</w:t>
      </w:r>
      <w:r w:rsidRPr="00AE39A9">
        <w:rPr>
          <w:bCs/>
        </w:rPr>
        <w:t>owever</w:t>
      </w:r>
      <w:r>
        <w:rPr>
          <w:bCs/>
        </w:rPr>
        <w:t>, this</w:t>
      </w:r>
      <w:r w:rsidRPr="00AE39A9">
        <w:rPr>
          <w:bCs/>
        </w:rPr>
        <w:t xml:space="preserve"> could not be determined because the only data available for an aquatic dicot </w:t>
      </w:r>
      <w:r>
        <w:rPr>
          <w:bCs/>
        </w:rPr>
        <w:t>(</w:t>
      </w:r>
      <w:r w:rsidRPr="001F1BD6">
        <w:t xml:space="preserve">water milfoil </w:t>
      </w:r>
      <w:r>
        <w:t>(</w:t>
      </w:r>
      <w:r w:rsidRPr="00D649DD">
        <w:rPr>
          <w:rStyle w:val="Emphasis"/>
        </w:rPr>
        <w:t>Myriophyllum sibiricum</w:t>
      </w:r>
      <w:r>
        <w:t>)</w:t>
      </w:r>
      <w:r w:rsidRPr="00AE39A9">
        <w:rPr>
          <w:bCs/>
        </w:rPr>
        <w:t xml:space="preserve"> </w:t>
      </w:r>
      <w:r>
        <w:rPr>
          <w:bCs/>
        </w:rPr>
        <w:t xml:space="preserve">reported by </w:t>
      </w:r>
      <w:r w:rsidRPr="00AE39A9">
        <w:rPr>
          <w:bCs/>
        </w:rPr>
        <w:t>Forsyth et al</w:t>
      </w:r>
      <w:r>
        <w:rPr>
          <w:bCs/>
        </w:rPr>
        <w:t>.</w:t>
      </w:r>
      <w:r w:rsidRPr="00AE39A9">
        <w:rPr>
          <w:bCs/>
        </w:rPr>
        <w:t xml:space="preserve"> 1997) did not pass the quality assessment. Therefore</w:t>
      </w:r>
      <w:r w:rsidRPr="0043564A">
        <w:rPr>
          <w:bCs/>
        </w:rPr>
        <w:t xml:space="preserve">, both plant and animal data were considered in the </w:t>
      </w:r>
      <w:r>
        <w:rPr>
          <w:bCs/>
        </w:rPr>
        <w:t>default guideline value (</w:t>
      </w:r>
      <w:r w:rsidRPr="0043564A">
        <w:rPr>
          <w:bCs/>
        </w:rPr>
        <w:t>DGV</w:t>
      </w:r>
      <w:r>
        <w:rPr>
          <w:bCs/>
        </w:rPr>
        <w:t>)</w:t>
      </w:r>
      <w:r w:rsidRPr="0043564A">
        <w:rPr>
          <w:bCs/>
        </w:rPr>
        <w:t xml:space="preserve"> derivation. It is </w:t>
      </w:r>
      <w:r>
        <w:rPr>
          <w:bCs/>
        </w:rPr>
        <w:t xml:space="preserve">possible that </w:t>
      </w:r>
      <w:r w:rsidRPr="00AE39A9">
        <w:rPr>
          <w:bCs/>
        </w:rPr>
        <w:t xml:space="preserve">the DGVs </w:t>
      </w:r>
      <w:r>
        <w:rPr>
          <w:bCs/>
        </w:rPr>
        <w:t xml:space="preserve">may be </w:t>
      </w:r>
      <w:r w:rsidRPr="00AE39A9">
        <w:rPr>
          <w:bCs/>
        </w:rPr>
        <w:t>under-protective</w:t>
      </w:r>
      <w:r>
        <w:rPr>
          <w:bCs/>
        </w:rPr>
        <w:t xml:space="preserve"> </w:t>
      </w:r>
      <w:r w:rsidRPr="00AE39A9">
        <w:rPr>
          <w:bCs/>
        </w:rPr>
        <w:t>for aquatic dicotyledons.</w:t>
      </w:r>
    </w:p>
    <w:p w14:paraId="4E042E3E" w14:textId="77777777" w:rsidR="00AE39A9" w:rsidRDefault="00F039DE">
      <w:r w:rsidRPr="005D54AD">
        <w:t xml:space="preserve">Low reliability DGVs for picloram in freshwater </w:t>
      </w:r>
      <w:r w:rsidRPr="00C25395">
        <w:t>were derive</w:t>
      </w:r>
      <w:r w:rsidRPr="00D77B8F">
        <w:t xml:space="preserve">d based on chronic NOEC and acute LC50 (converted to chronic) data for </w:t>
      </w:r>
      <w:r w:rsidR="00294D7D">
        <w:t>12</w:t>
      </w:r>
      <w:r w:rsidR="00294D7D" w:rsidRPr="00D77B8F">
        <w:t xml:space="preserve"> </w:t>
      </w:r>
      <w:r w:rsidRPr="00D77B8F">
        <w:t>species from four taxonomic groups</w:t>
      </w:r>
      <w:r w:rsidR="00294D7D">
        <w:t>,</w:t>
      </w:r>
      <w:r w:rsidRPr="00D77B8F">
        <w:t xml:space="preserve"> with a poor fit of the </w:t>
      </w:r>
      <w:r w:rsidR="00294D7D">
        <w:t xml:space="preserve">species sensitivity </w:t>
      </w:r>
      <w:r w:rsidRPr="00D77B8F">
        <w:t xml:space="preserve">distribution </w:t>
      </w:r>
      <w:r w:rsidR="00294D7D">
        <w:t>to</w:t>
      </w:r>
      <w:r w:rsidRPr="00D77B8F">
        <w:t xml:space="preserve"> the toxicity data. </w:t>
      </w:r>
      <w:r w:rsidR="00511E82">
        <w:t xml:space="preserve">The DGVs derived here are expressed in terms of the active ingredient (picloram) rather than commercial formulations. </w:t>
      </w:r>
      <w:r w:rsidR="00CB1AFF" w:rsidRPr="00D77B8F">
        <w:t>The DGVs for 99</w:t>
      </w:r>
      <w:r w:rsidR="00294D7D">
        <w:t>%</w:t>
      </w:r>
      <w:r w:rsidR="00CB1AFF" w:rsidRPr="00D77B8F">
        <w:t>, 95</w:t>
      </w:r>
      <w:r w:rsidR="00294D7D">
        <w:t>%</w:t>
      </w:r>
      <w:r w:rsidR="00CB1AFF" w:rsidRPr="00D77B8F">
        <w:t>, 90</w:t>
      </w:r>
      <w:r w:rsidR="00294D7D">
        <w:t>%</w:t>
      </w:r>
      <w:r w:rsidR="00CB1AFF" w:rsidRPr="00D77B8F">
        <w:t xml:space="preserve"> and 80% species protection </w:t>
      </w:r>
      <w:r w:rsidR="00511319" w:rsidRPr="00D77B8F">
        <w:t>are 6.3</w:t>
      </w:r>
      <w:r w:rsidR="00294D7D">
        <w:t> </w:t>
      </w:r>
      <w:r w:rsidR="00511319" w:rsidRPr="00D77B8F">
        <w:t>µg/L, 87</w:t>
      </w:r>
      <w:r w:rsidR="00294D7D">
        <w:t> </w:t>
      </w:r>
      <w:r w:rsidR="00511319" w:rsidRPr="00D77B8F">
        <w:t xml:space="preserve">µg/L, </w:t>
      </w:r>
      <w:r w:rsidR="00217E23" w:rsidRPr="00D77B8F">
        <w:t>27</w:t>
      </w:r>
      <w:r w:rsidR="00217E23">
        <w:t>0</w:t>
      </w:r>
      <w:r w:rsidR="00294D7D">
        <w:t> </w:t>
      </w:r>
      <w:r w:rsidR="00511319" w:rsidRPr="00D77B8F">
        <w:t xml:space="preserve">µg/L and </w:t>
      </w:r>
      <w:r w:rsidR="00217E23" w:rsidRPr="00D77B8F">
        <w:t>8</w:t>
      </w:r>
      <w:r w:rsidR="00217E23">
        <w:t>50</w:t>
      </w:r>
      <w:r w:rsidR="00294D7D">
        <w:t> </w:t>
      </w:r>
      <w:r w:rsidR="00511319" w:rsidRPr="00D77B8F">
        <w:t xml:space="preserve">µg/L, respectively. The 95% species protection level is </w:t>
      </w:r>
      <w:r w:rsidR="004B46D5">
        <w:t xml:space="preserve">typically </w:t>
      </w:r>
      <w:r w:rsidR="00511319" w:rsidRPr="00D77B8F">
        <w:t>recommended for assess</w:t>
      </w:r>
      <w:r w:rsidR="0091243F">
        <w:t>ing</w:t>
      </w:r>
      <w:r w:rsidR="00511319" w:rsidRPr="00D77B8F">
        <w:t xml:space="preserve"> slightly</w:t>
      </w:r>
      <w:r w:rsidR="0091243F">
        <w:t>-</w:t>
      </w:r>
      <w:r w:rsidR="00511319" w:rsidRPr="00D77B8F">
        <w:t>to</w:t>
      </w:r>
      <w:r w:rsidR="0091243F">
        <w:t>-</w:t>
      </w:r>
      <w:r w:rsidR="00511319" w:rsidRPr="00D77B8F">
        <w:t>moderately disturbed ecosystems.</w:t>
      </w:r>
      <w:r w:rsidR="00474D8E">
        <w:t xml:space="preserve"> </w:t>
      </w:r>
      <w:r w:rsidR="004B46D5">
        <w:t>However, and a</w:t>
      </w:r>
      <w:r w:rsidR="00474D8E" w:rsidRPr="00FB0B1E">
        <w:t>s</w:t>
      </w:r>
      <w:r w:rsidR="00474D8E">
        <w:t xml:space="preserve"> recommended in ANZG (2018), </w:t>
      </w:r>
      <w:r w:rsidR="00474D8E" w:rsidRPr="00A03366">
        <w:t xml:space="preserve">low reliability </w:t>
      </w:r>
      <w:r w:rsidR="0091243F">
        <w:t>DGVs</w:t>
      </w:r>
      <w:r w:rsidR="00474D8E" w:rsidRPr="00A03366">
        <w:t xml:space="preserve"> </w:t>
      </w:r>
      <w:r w:rsidR="00474D8E">
        <w:t xml:space="preserve">are not adequate </w:t>
      </w:r>
      <w:r w:rsidR="0091243F">
        <w:t>for</w:t>
      </w:r>
      <w:r w:rsidR="00474D8E" w:rsidRPr="00A03366">
        <w:t xml:space="preserve"> assess</w:t>
      </w:r>
      <w:r w:rsidR="0091243F">
        <w:t>ing</w:t>
      </w:r>
      <w:r w:rsidR="00474D8E" w:rsidRPr="00A03366">
        <w:t xml:space="preserve"> water quality but can be used as interim values until </w:t>
      </w:r>
      <w:r w:rsidR="00474D8E">
        <w:t>more reliable values</w:t>
      </w:r>
      <w:r w:rsidR="00474D8E" w:rsidRPr="00A03366">
        <w:t xml:space="preserve"> are derived</w:t>
      </w:r>
      <w:r w:rsidR="00474D8E">
        <w:t>. If used as interim values, they</w:t>
      </w:r>
      <w:r w:rsidR="00474D8E" w:rsidRPr="00A03366">
        <w:t xml:space="preserve"> should</w:t>
      </w:r>
      <w:r w:rsidR="00246113">
        <w:t xml:space="preserve"> </w:t>
      </w:r>
      <w:r w:rsidR="00474D8E" w:rsidRPr="000929BD">
        <w:t>always</w:t>
      </w:r>
      <w:r w:rsidR="00246113">
        <w:t xml:space="preserve"> </w:t>
      </w:r>
      <w:r w:rsidR="00474D8E" w:rsidRPr="00A03366">
        <w:t>be used in conjunction with other lines of evidence</w:t>
      </w:r>
      <w:r w:rsidR="00474D8E">
        <w:t>.</w:t>
      </w:r>
    </w:p>
    <w:p w14:paraId="4E042E3F" w14:textId="77777777" w:rsidR="00DE1BC0" w:rsidRDefault="00DE1BC0"/>
    <w:p w14:paraId="4E042E40" w14:textId="77777777" w:rsidR="00DE1BC0" w:rsidRDefault="00DE1BC0">
      <w:pPr>
        <w:sectPr w:rsidR="00DE1BC0">
          <w:headerReference w:type="even" r:id="rId18"/>
          <w:headerReference w:type="default" r:id="rId19"/>
          <w:footerReference w:type="default" r:id="rId20"/>
          <w:headerReference w:type="first" r:id="rId21"/>
          <w:pgSz w:w="11906" w:h="16838"/>
          <w:pgMar w:top="1418" w:right="1418" w:bottom="1418" w:left="1418" w:header="567" w:footer="283" w:gutter="0"/>
          <w:pgNumType w:fmt="lowerRoman"/>
          <w:cols w:space="708"/>
          <w:titlePg/>
          <w:docGrid w:linePitch="360"/>
        </w:sectPr>
      </w:pPr>
    </w:p>
    <w:p w14:paraId="4E042E41" w14:textId="77777777" w:rsidR="001C0D1C" w:rsidRDefault="00F039DE">
      <w:pPr>
        <w:pStyle w:val="Heading2"/>
      </w:pPr>
      <w:bookmarkStart w:id="1" w:name="_Toc80543127"/>
      <w:bookmarkStart w:id="2" w:name="_Ref80692750"/>
      <w:r>
        <w:lastRenderedPageBreak/>
        <w:t>Introduction</w:t>
      </w:r>
      <w:bookmarkEnd w:id="1"/>
      <w:bookmarkEnd w:id="2"/>
    </w:p>
    <w:p w14:paraId="4E042E42" w14:textId="77777777" w:rsidR="00BD0968" w:rsidRDefault="00F039DE" w:rsidP="00511319">
      <w:pPr>
        <w:rPr>
          <w:rFonts w:cs="Times New Roman"/>
        </w:rPr>
      </w:pPr>
      <w:r w:rsidRPr="00511319">
        <w:rPr>
          <w:rFonts w:cs="Times New Roman"/>
        </w:rPr>
        <w:t>Picloram (C</w:t>
      </w:r>
      <w:r w:rsidRPr="00151B70">
        <w:rPr>
          <w:rFonts w:cs="Times New Roman"/>
          <w:vertAlign w:val="subscript"/>
        </w:rPr>
        <w:t>6</w:t>
      </w:r>
      <w:r w:rsidRPr="00511319">
        <w:rPr>
          <w:rFonts w:cs="Times New Roman"/>
        </w:rPr>
        <w:t>H</w:t>
      </w:r>
      <w:r w:rsidRPr="00151B70">
        <w:rPr>
          <w:rFonts w:cs="Times New Roman"/>
          <w:vertAlign w:val="subscript"/>
        </w:rPr>
        <w:t>3</w:t>
      </w:r>
      <w:r w:rsidRPr="00511319">
        <w:rPr>
          <w:rFonts w:cs="Times New Roman"/>
        </w:rPr>
        <w:t>Cl</w:t>
      </w:r>
      <w:r w:rsidRPr="00151B70">
        <w:rPr>
          <w:rFonts w:cs="Times New Roman"/>
          <w:vertAlign w:val="subscript"/>
        </w:rPr>
        <w:t>13</w:t>
      </w:r>
      <w:r w:rsidRPr="00511319">
        <w:rPr>
          <w:rFonts w:cs="Times New Roman"/>
        </w:rPr>
        <w:t>N</w:t>
      </w:r>
      <w:r w:rsidRPr="00151B70">
        <w:rPr>
          <w:rFonts w:cs="Times New Roman"/>
          <w:vertAlign w:val="subscript"/>
        </w:rPr>
        <w:t>2</w:t>
      </w:r>
      <w:r w:rsidRPr="00511319">
        <w:rPr>
          <w:rFonts w:cs="Times New Roman"/>
        </w:rPr>
        <w:t>O</w:t>
      </w:r>
      <w:r w:rsidRPr="00151B70">
        <w:rPr>
          <w:rFonts w:cs="Times New Roman"/>
          <w:vertAlign w:val="subscript"/>
        </w:rPr>
        <w:t>2</w:t>
      </w:r>
      <w:r w:rsidRPr="00511319">
        <w:rPr>
          <w:rFonts w:cs="Times New Roman"/>
        </w:rPr>
        <w:t>, CASRN 1918-02-1) is a pyridine herbicide used for the control of annual and perennial broadleaf weeds</w:t>
      </w:r>
      <w:r w:rsidR="009D3532">
        <w:rPr>
          <w:rFonts w:cs="Times New Roman"/>
        </w:rPr>
        <w:t xml:space="preserve"> </w:t>
      </w:r>
      <w:r w:rsidR="00DE246B">
        <w:rPr>
          <w:rFonts w:cs="Times New Roman"/>
        </w:rPr>
        <w:t xml:space="preserve">in agricultural (crop and non-crop), forestry, commercial and industrial </w:t>
      </w:r>
      <w:r w:rsidR="00EF4EE6">
        <w:rPr>
          <w:rFonts w:cs="Times New Roman"/>
        </w:rPr>
        <w:t>settings</w:t>
      </w:r>
      <w:r w:rsidR="00DE246B">
        <w:rPr>
          <w:rFonts w:cs="Times New Roman"/>
        </w:rPr>
        <w:t xml:space="preserve"> (ACVM 2020, APVMA 2020</w:t>
      </w:r>
      <w:r w:rsidR="00C17D60">
        <w:rPr>
          <w:rFonts w:cs="Times New Roman"/>
        </w:rPr>
        <w:t>a</w:t>
      </w:r>
      <w:r w:rsidR="00DE246B">
        <w:rPr>
          <w:rFonts w:cs="Times New Roman"/>
        </w:rPr>
        <w:t>)</w:t>
      </w:r>
      <w:r w:rsidR="009D3532">
        <w:rPr>
          <w:rFonts w:cs="Times New Roman"/>
        </w:rPr>
        <w:t>. In Australia</w:t>
      </w:r>
      <w:r w:rsidR="00DE246B">
        <w:rPr>
          <w:rFonts w:cs="Times New Roman"/>
        </w:rPr>
        <w:t>,</w:t>
      </w:r>
      <w:r w:rsidR="009D3532">
        <w:rPr>
          <w:rFonts w:cs="Times New Roman"/>
        </w:rPr>
        <w:t xml:space="preserve"> it is approved for use o</w:t>
      </w:r>
      <w:r w:rsidRPr="00511319">
        <w:rPr>
          <w:rFonts w:cs="Times New Roman"/>
        </w:rPr>
        <w:t xml:space="preserve">n </w:t>
      </w:r>
      <w:r w:rsidR="009D3532">
        <w:rPr>
          <w:rFonts w:cs="Times New Roman"/>
        </w:rPr>
        <w:t>a range of crops</w:t>
      </w:r>
      <w:r w:rsidR="0026658C">
        <w:rPr>
          <w:rFonts w:cs="Times New Roman"/>
        </w:rPr>
        <w:t>,</w:t>
      </w:r>
      <w:r w:rsidR="009D3532">
        <w:rPr>
          <w:rFonts w:cs="Times New Roman"/>
        </w:rPr>
        <w:t xml:space="preserve"> including</w:t>
      </w:r>
      <w:r w:rsidR="00DE246B">
        <w:rPr>
          <w:rFonts w:cs="Times New Roman"/>
        </w:rPr>
        <w:t xml:space="preserve"> (but not limited to)</w:t>
      </w:r>
      <w:r w:rsidR="009D3532">
        <w:rPr>
          <w:rFonts w:cs="Times New Roman"/>
        </w:rPr>
        <w:t xml:space="preserve"> cereal, pasture, </w:t>
      </w:r>
      <w:r w:rsidR="00DE246B">
        <w:rPr>
          <w:rFonts w:cs="Times New Roman"/>
        </w:rPr>
        <w:t>linseed, linola and sugarcane</w:t>
      </w:r>
      <w:r w:rsidR="00A87A9F">
        <w:rPr>
          <w:rFonts w:cs="Times New Roman"/>
        </w:rPr>
        <w:t xml:space="preserve"> (APVMA </w:t>
      </w:r>
      <w:r w:rsidR="00EF4EE6">
        <w:rPr>
          <w:rFonts w:cs="Times New Roman"/>
        </w:rPr>
        <w:t>2015, 2020</w:t>
      </w:r>
      <w:r w:rsidR="00C17D60">
        <w:rPr>
          <w:rFonts w:cs="Times New Roman"/>
        </w:rPr>
        <w:t>a</w:t>
      </w:r>
      <w:r w:rsidR="00A87A9F">
        <w:rPr>
          <w:rFonts w:cs="Times New Roman"/>
        </w:rPr>
        <w:t>)</w:t>
      </w:r>
      <w:r w:rsidR="005E099D">
        <w:rPr>
          <w:rFonts w:cs="Times New Roman"/>
        </w:rPr>
        <w:t xml:space="preserve">. </w:t>
      </w:r>
      <w:r w:rsidR="00EF4EE6">
        <w:rPr>
          <w:rFonts w:cs="Times New Roman"/>
        </w:rPr>
        <w:t>In New Zealand, it is approved for use for a range of agricultural purposes</w:t>
      </w:r>
      <w:r w:rsidR="0026658C">
        <w:rPr>
          <w:rFonts w:cs="Times New Roman"/>
        </w:rPr>
        <w:t>,</w:t>
      </w:r>
      <w:r w:rsidR="00EF4EE6">
        <w:rPr>
          <w:rFonts w:cs="Times New Roman"/>
        </w:rPr>
        <w:t xml:space="preserve"> including (but not limited to) pasture, amenity turf and fodder brassicas (ACVM 2020)</w:t>
      </w:r>
      <w:r w:rsidR="0038187D">
        <w:rPr>
          <w:rFonts w:cs="Times New Roman"/>
        </w:rPr>
        <w:t>.</w:t>
      </w:r>
      <w:r w:rsidR="00EF4EE6">
        <w:rPr>
          <w:rFonts w:cs="Times New Roman"/>
        </w:rPr>
        <w:t xml:space="preserve"> </w:t>
      </w:r>
      <w:r w:rsidR="009F6D5A">
        <w:rPr>
          <w:rFonts w:cs="Times New Roman"/>
        </w:rPr>
        <w:t>Picloram</w:t>
      </w:r>
      <w:r w:rsidRPr="00511319">
        <w:rPr>
          <w:rFonts w:cs="Times New Roman"/>
        </w:rPr>
        <w:t xml:space="preserve"> is a selective, systemic</w:t>
      </w:r>
      <w:r w:rsidR="0026658C">
        <w:rPr>
          <w:rFonts w:cs="Times New Roman"/>
        </w:rPr>
        <w:t xml:space="preserve"> and</w:t>
      </w:r>
      <w:r w:rsidRPr="00511319">
        <w:rPr>
          <w:rFonts w:cs="Times New Roman"/>
        </w:rPr>
        <w:t xml:space="preserve"> post-emergence herbicide with foliar and soil activity</w:t>
      </w:r>
      <w:r w:rsidR="00A45E7F">
        <w:rPr>
          <w:rFonts w:cs="Times New Roman"/>
        </w:rPr>
        <w:t xml:space="preserve"> (FWPRDC 2006)</w:t>
      </w:r>
      <w:r w:rsidRPr="00511319">
        <w:rPr>
          <w:rFonts w:cs="Times New Roman"/>
        </w:rPr>
        <w:t xml:space="preserve">. </w:t>
      </w:r>
      <w:r w:rsidR="009F6D5A">
        <w:rPr>
          <w:rFonts w:cs="Times New Roman"/>
        </w:rPr>
        <w:t>It</w:t>
      </w:r>
      <w:r w:rsidR="009F6D5A" w:rsidRPr="00511319">
        <w:rPr>
          <w:rFonts w:cs="Times New Roman"/>
        </w:rPr>
        <w:t xml:space="preserve"> </w:t>
      </w:r>
      <w:r w:rsidRPr="00511319">
        <w:rPr>
          <w:rFonts w:cs="Times New Roman"/>
        </w:rPr>
        <w:t xml:space="preserve">is used in </w:t>
      </w:r>
      <w:r w:rsidR="00A87A9F">
        <w:rPr>
          <w:rFonts w:cs="Times New Roman"/>
        </w:rPr>
        <w:t>the following</w:t>
      </w:r>
      <w:r w:rsidRPr="00511319">
        <w:rPr>
          <w:rFonts w:cs="Times New Roman"/>
        </w:rPr>
        <w:t xml:space="preserve"> forms: potassium salt, hexyloxypropylamine salt, triethanolamine salt, triisopropanolamine salt, </w:t>
      </w:r>
      <w:r w:rsidR="00532E24" w:rsidRPr="00511319">
        <w:rPr>
          <w:rFonts w:cs="Times New Roman"/>
        </w:rPr>
        <w:t>diethanolamine salt</w:t>
      </w:r>
      <w:r w:rsidR="00532E24">
        <w:rPr>
          <w:rFonts w:cs="Times New Roman"/>
        </w:rPr>
        <w:t xml:space="preserve">, and </w:t>
      </w:r>
      <w:r w:rsidRPr="00511319">
        <w:rPr>
          <w:rFonts w:cs="Times New Roman"/>
        </w:rPr>
        <w:t>isooctyl ester</w:t>
      </w:r>
      <w:r w:rsidR="00532E24">
        <w:rPr>
          <w:rFonts w:cs="Times New Roman"/>
        </w:rPr>
        <w:t xml:space="preserve"> </w:t>
      </w:r>
      <w:r w:rsidR="00A45E7F">
        <w:rPr>
          <w:rFonts w:cs="Times New Roman"/>
        </w:rPr>
        <w:t>(Cox 1998</w:t>
      </w:r>
      <w:r w:rsidR="00EE264D">
        <w:rPr>
          <w:rFonts w:cs="Times New Roman"/>
        </w:rPr>
        <w:t>,</w:t>
      </w:r>
      <w:r w:rsidR="00A45E7F">
        <w:rPr>
          <w:rFonts w:cs="Times New Roman"/>
        </w:rPr>
        <w:t xml:space="preserve"> APVMA 2015, </w:t>
      </w:r>
      <w:r w:rsidR="009F6D5A">
        <w:rPr>
          <w:rFonts w:cs="Times New Roman"/>
        </w:rPr>
        <w:t>2020</w:t>
      </w:r>
      <w:r w:rsidR="00C17D60">
        <w:rPr>
          <w:rFonts w:cs="Times New Roman"/>
        </w:rPr>
        <w:t>a</w:t>
      </w:r>
      <w:r w:rsidR="00A45E7F">
        <w:rPr>
          <w:rFonts w:cs="Times New Roman"/>
        </w:rPr>
        <w:t>)</w:t>
      </w:r>
      <w:r w:rsidRPr="00511319">
        <w:rPr>
          <w:rFonts w:cs="Times New Roman"/>
        </w:rPr>
        <w:t>. Picloram acid is only used to manufacture other forms of picloram, whereas the amine salts, potassium salt and ester derivatives of picloram are produced as commercial herbicides</w:t>
      </w:r>
      <w:r w:rsidR="00A45E7F">
        <w:rPr>
          <w:rFonts w:cs="Times New Roman"/>
        </w:rPr>
        <w:t xml:space="preserve"> (USEPA 1995</w:t>
      </w:r>
      <w:r w:rsidR="00EE264D">
        <w:rPr>
          <w:rFonts w:cs="Times New Roman"/>
        </w:rPr>
        <w:t>,</w:t>
      </w:r>
      <w:r w:rsidR="00A45E7F">
        <w:rPr>
          <w:rFonts w:cs="Times New Roman"/>
        </w:rPr>
        <w:t xml:space="preserve"> APVMA 2015)</w:t>
      </w:r>
      <w:r w:rsidRPr="00511319">
        <w:rPr>
          <w:rFonts w:cs="Times New Roman"/>
        </w:rPr>
        <w:t xml:space="preserve">. </w:t>
      </w:r>
    </w:p>
    <w:p w14:paraId="4E042E43" w14:textId="77777777" w:rsidR="00511319" w:rsidRPr="00511319" w:rsidRDefault="00F039DE" w:rsidP="00511319">
      <w:pPr>
        <w:rPr>
          <w:rFonts w:cs="Times New Roman"/>
        </w:rPr>
      </w:pPr>
      <w:r w:rsidRPr="00511319">
        <w:rPr>
          <w:rFonts w:cs="Times New Roman"/>
        </w:rPr>
        <w:t xml:space="preserve">In this </w:t>
      </w:r>
      <w:r w:rsidR="00452B73">
        <w:rPr>
          <w:rFonts w:cs="Times New Roman"/>
        </w:rPr>
        <w:t>technical brief</w:t>
      </w:r>
      <w:r w:rsidRPr="00511319">
        <w:rPr>
          <w:rFonts w:cs="Times New Roman"/>
        </w:rPr>
        <w:t xml:space="preserve">, the term </w:t>
      </w:r>
      <w:r w:rsidR="00EE264D">
        <w:rPr>
          <w:rFonts w:cs="Times New Roman"/>
        </w:rPr>
        <w:t>‘</w:t>
      </w:r>
      <w:r w:rsidRPr="00511319">
        <w:rPr>
          <w:rFonts w:cs="Times New Roman"/>
        </w:rPr>
        <w:t>picloram</w:t>
      </w:r>
      <w:r w:rsidR="00EE264D">
        <w:rPr>
          <w:rFonts w:cs="Times New Roman"/>
        </w:rPr>
        <w:t>’</w:t>
      </w:r>
      <w:r w:rsidRPr="00511319">
        <w:rPr>
          <w:rFonts w:cs="Times New Roman"/>
        </w:rPr>
        <w:t xml:space="preserve"> refers to the various forms of picloram; where data on specific forms of picloram are available, these are specifically described.</w:t>
      </w:r>
    </w:p>
    <w:p w14:paraId="4E042E44" w14:textId="77777777" w:rsidR="00511319" w:rsidRPr="00511319" w:rsidRDefault="00F039DE" w:rsidP="00511319">
      <w:pPr>
        <w:rPr>
          <w:rFonts w:cs="Times New Roman"/>
        </w:rPr>
      </w:pPr>
      <w:r>
        <w:rPr>
          <w:rFonts w:cs="Times New Roman"/>
        </w:rPr>
        <w:t>P</w:t>
      </w:r>
      <w:r w:rsidRPr="00511319">
        <w:rPr>
          <w:rFonts w:cs="Times New Roman"/>
        </w:rPr>
        <w:t>icloram may be formulated in a variety of concentrated products (emulsifiable, suspension, soluble or liquid) and applied using ground or aerial methods to control weeds such as blackberry (</w:t>
      </w:r>
      <w:r w:rsidRPr="00EE264D">
        <w:rPr>
          <w:rStyle w:val="Emphasis"/>
        </w:rPr>
        <w:t>Rubus fruticosus</w:t>
      </w:r>
      <w:r w:rsidRPr="00511319">
        <w:rPr>
          <w:rFonts w:cs="Times New Roman"/>
        </w:rPr>
        <w:t>), hawthorn (</w:t>
      </w:r>
      <w:r w:rsidRPr="00EE264D">
        <w:rPr>
          <w:rStyle w:val="Emphasis"/>
        </w:rPr>
        <w:t>Crataegus monogyna</w:t>
      </w:r>
      <w:r w:rsidRPr="00511319">
        <w:rPr>
          <w:rFonts w:cs="Times New Roman"/>
        </w:rPr>
        <w:t xml:space="preserve">), </w:t>
      </w:r>
      <w:r w:rsidR="00746A27">
        <w:rPr>
          <w:rFonts w:cs="Times New Roman"/>
        </w:rPr>
        <w:t>lantana (</w:t>
      </w:r>
      <w:r w:rsidRPr="00EE264D">
        <w:rPr>
          <w:rStyle w:val="Emphasis"/>
        </w:rPr>
        <w:t>Lantana camera</w:t>
      </w:r>
      <w:r w:rsidR="00746A27">
        <w:rPr>
          <w:rFonts w:cs="Times New Roman"/>
        </w:rPr>
        <w:t>)</w:t>
      </w:r>
      <w:r w:rsidRPr="00511319">
        <w:rPr>
          <w:rFonts w:cs="Times New Roman"/>
        </w:rPr>
        <w:t>, and prickly pear (</w:t>
      </w:r>
      <w:r w:rsidRPr="00EE264D">
        <w:rPr>
          <w:rStyle w:val="Emphasis"/>
        </w:rPr>
        <w:t>Opuntia</w:t>
      </w:r>
      <w:r w:rsidRPr="00E07FF9">
        <w:rPr>
          <w:rFonts w:cs="Times New Roman"/>
          <w:i/>
          <w:iCs/>
        </w:rPr>
        <w:t xml:space="preserve"> </w:t>
      </w:r>
      <w:r w:rsidRPr="00EE264D">
        <w:rPr>
          <w:rStyle w:val="Emphasis"/>
        </w:rPr>
        <w:t>stricta</w:t>
      </w:r>
      <w:r w:rsidRPr="00511319">
        <w:rPr>
          <w:rFonts w:cs="Times New Roman"/>
        </w:rPr>
        <w:t>)</w:t>
      </w:r>
      <w:r w:rsidR="00A45E7F">
        <w:rPr>
          <w:rFonts w:cs="Times New Roman"/>
        </w:rPr>
        <w:t xml:space="preserve"> (</w:t>
      </w:r>
      <w:r>
        <w:rPr>
          <w:rFonts w:cs="Times New Roman"/>
        </w:rPr>
        <w:t xml:space="preserve">ACVM 2020, </w:t>
      </w:r>
      <w:r w:rsidR="00A45E7F">
        <w:rPr>
          <w:rFonts w:cs="Times New Roman"/>
        </w:rPr>
        <w:t xml:space="preserve">APVMA </w:t>
      </w:r>
      <w:r>
        <w:rPr>
          <w:rFonts w:cs="Times New Roman"/>
        </w:rPr>
        <w:t>2020</w:t>
      </w:r>
      <w:r w:rsidR="00C17D60">
        <w:rPr>
          <w:rFonts w:cs="Times New Roman"/>
        </w:rPr>
        <w:t>a</w:t>
      </w:r>
      <w:r w:rsidR="00A45E7F">
        <w:rPr>
          <w:rFonts w:cs="Times New Roman"/>
        </w:rPr>
        <w:t>)</w:t>
      </w:r>
      <w:r w:rsidRPr="00511319">
        <w:rPr>
          <w:rFonts w:cs="Times New Roman"/>
        </w:rPr>
        <w:t xml:space="preserve">. </w:t>
      </w:r>
    </w:p>
    <w:p w14:paraId="4E042E45" w14:textId="77777777" w:rsidR="00511319" w:rsidRPr="00511319" w:rsidRDefault="00F039DE" w:rsidP="00511319">
      <w:pPr>
        <w:rPr>
          <w:rFonts w:cs="Times New Roman"/>
        </w:rPr>
      </w:pPr>
      <w:r w:rsidRPr="00511319">
        <w:rPr>
          <w:rFonts w:cs="Times New Roman"/>
        </w:rPr>
        <w:t xml:space="preserve">Picloram is registered for use as a single active constituent, </w:t>
      </w:r>
      <w:r w:rsidR="00006FF9">
        <w:rPr>
          <w:rFonts w:cs="Times New Roman"/>
        </w:rPr>
        <w:t xml:space="preserve">although </w:t>
      </w:r>
      <w:r w:rsidR="00CD0E70">
        <w:rPr>
          <w:rFonts w:cs="Times New Roman"/>
        </w:rPr>
        <w:t xml:space="preserve">it </w:t>
      </w:r>
      <w:r w:rsidR="00006FF9">
        <w:rPr>
          <w:rFonts w:cs="Times New Roman"/>
        </w:rPr>
        <w:t>is more often</w:t>
      </w:r>
      <w:r w:rsidR="00006FF9" w:rsidRPr="00511319">
        <w:rPr>
          <w:rFonts w:cs="Times New Roman"/>
        </w:rPr>
        <w:t xml:space="preserve"> </w:t>
      </w:r>
      <w:r w:rsidR="00BD2E8F">
        <w:rPr>
          <w:rFonts w:cs="Times New Roman"/>
        </w:rPr>
        <w:t>formulated</w:t>
      </w:r>
      <w:r w:rsidR="00431473">
        <w:rPr>
          <w:rFonts w:cs="Times New Roman"/>
        </w:rPr>
        <w:t xml:space="preserve"> in </w:t>
      </w:r>
      <w:r w:rsidR="00431473" w:rsidRPr="00511319">
        <w:rPr>
          <w:rFonts w:cs="Times New Roman"/>
        </w:rPr>
        <w:t>combin</w:t>
      </w:r>
      <w:r w:rsidR="00431473">
        <w:rPr>
          <w:rFonts w:cs="Times New Roman"/>
        </w:rPr>
        <w:t>ation</w:t>
      </w:r>
      <w:r w:rsidR="00431473" w:rsidRPr="00511319">
        <w:rPr>
          <w:rFonts w:cs="Times New Roman"/>
        </w:rPr>
        <w:t xml:space="preserve"> </w:t>
      </w:r>
      <w:r w:rsidRPr="00511319">
        <w:rPr>
          <w:rFonts w:cs="Times New Roman"/>
        </w:rPr>
        <w:t xml:space="preserve">with other actives </w:t>
      </w:r>
      <w:r w:rsidR="00CD0E70">
        <w:rPr>
          <w:rFonts w:cs="Times New Roman"/>
        </w:rPr>
        <w:t>(e.g.</w:t>
      </w:r>
      <w:r w:rsidRPr="00511319">
        <w:rPr>
          <w:rFonts w:cs="Times New Roman"/>
        </w:rPr>
        <w:t xml:space="preserve"> </w:t>
      </w:r>
      <w:r w:rsidR="009F6D5A">
        <w:rPr>
          <w:rFonts w:cs="Times New Roman"/>
        </w:rPr>
        <w:t xml:space="preserve">clopyralid, </w:t>
      </w:r>
      <w:r w:rsidRPr="00511319">
        <w:rPr>
          <w:rFonts w:cs="Times New Roman"/>
        </w:rPr>
        <w:t>triclopyr, MCPA and 2,4-D</w:t>
      </w:r>
      <w:r w:rsidR="00CD0E70">
        <w:rPr>
          <w:rFonts w:cs="Times New Roman"/>
        </w:rPr>
        <w:t>)</w:t>
      </w:r>
      <w:r w:rsidRPr="00511319">
        <w:rPr>
          <w:rFonts w:cs="Times New Roman"/>
        </w:rPr>
        <w:t xml:space="preserve"> in a large number of products</w:t>
      </w:r>
      <w:r w:rsidR="00A45E7F">
        <w:rPr>
          <w:rFonts w:cs="Times New Roman"/>
        </w:rPr>
        <w:t xml:space="preserve"> (</w:t>
      </w:r>
      <w:r w:rsidR="009F6D5A">
        <w:rPr>
          <w:rFonts w:cs="Times New Roman"/>
        </w:rPr>
        <w:t xml:space="preserve">ACVM 2020, </w:t>
      </w:r>
      <w:r w:rsidR="00A45E7F">
        <w:rPr>
          <w:rFonts w:cs="Times New Roman"/>
        </w:rPr>
        <w:t xml:space="preserve">APVMA 2015, </w:t>
      </w:r>
      <w:r w:rsidR="009F6D5A">
        <w:rPr>
          <w:rFonts w:cs="Times New Roman"/>
        </w:rPr>
        <w:t>2020</w:t>
      </w:r>
      <w:r w:rsidR="00C17D60">
        <w:rPr>
          <w:rFonts w:cs="Times New Roman"/>
        </w:rPr>
        <w:t>a</w:t>
      </w:r>
      <w:r w:rsidR="00A45E7F">
        <w:rPr>
          <w:rFonts w:cs="Times New Roman"/>
        </w:rPr>
        <w:t>)</w:t>
      </w:r>
      <w:r w:rsidRPr="00511319">
        <w:rPr>
          <w:rFonts w:cs="Times New Roman"/>
        </w:rPr>
        <w:t xml:space="preserve">. </w:t>
      </w:r>
      <w:r w:rsidR="00006FF9">
        <w:rPr>
          <w:rFonts w:cs="Times New Roman"/>
        </w:rPr>
        <w:t>P</w:t>
      </w:r>
      <w:r w:rsidRPr="00511319">
        <w:rPr>
          <w:rFonts w:cs="Times New Roman"/>
        </w:rPr>
        <w:t xml:space="preserve">icloram </w:t>
      </w:r>
      <w:r w:rsidR="00006FF9">
        <w:rPr>
          <w:rFonts w:cs="Times New Roman"/>
        </w:rPr>
        <w:t xml:space="preserve">is currently on the </w:t>
      </w:r>
      <w:r w:rsidRPr="00511319">
        <w:rPr>
          <w:rFonts w:cs="Times New Roman"/>
        </w:rPr>
        <w:t>Australian Pesticides and Veterinary Medicines Authority</w:t>
      </w:r>
      <w:r w:rsidR="00006FF9">
        <w:rPr>
          <w:rFonts w:cs="Times New Roman"/>
        </w:rPr>
        <w:t>’s</w:t>
      </w:r>
      <w:r w:rsidRPr="00511319">
        <w:rPr>
          <w:rFonts w:cs="Times New Roman"/>
        </w:rPr>
        <w:t xml:space="preserve"> </w:t>
      </w:r>
      <w:r w:rsidR="00006FF9">
        <w:rPr>
          <w:rFonts w:cs="Times New Roman"/>
        </w:rPr>
        <w:t xml:space="preserve">list of </w:t>
      </w:r>
      <w:r w:rsidR="00006FF9">
        <w:t>c</w:t>
      </w:r>
      <w:r w:rsidR="00006FF9" w:rsidRPr="00EA5859">
        <w:t>hemicals nominated and prioritised for reconsideration</w:t>
      </w:r>
      <w:r w:rsidR="00006FF9">
        <w:t xml:space="preserve">, in part due to its potential environmental risk </w:t>
      </w:r>
      <w:r w:rsidR="00006FF9">
        <w:rPr>
          <w:rFonts w:cs="Times New Roman"/>
        </w:rPr>
        <w:t xml:space="preserve">to non-target organisms </w:t>
      </w:r>
      <w:r w:rsidR="00A45E7F">
        <w:rPr>
          <w:rFonts w:cs="Times New Roman"/>
        </w:rPr>
        <w:t xml:space="preserve">(APVMA </w:t>
      </w:r>
      <w:r w:rsidR="00006FF9">
        <w:rPr>
          <w:rFonts w:cs="Times New Roman"/>
        </w:rPr>
        <w:t>2020b</w:t>
      </w:r>
      <w:r w:rsidR="00A45E7F">
        <w:rPr>
          <w:rFonts w:cs="Times New Roman"/>
        </w:rPr>
        <w:t>)</w:t>
      </w:r>
      <w:r w:rsidRPr="00511319">
        <w:rPr>
          <w:rFonts w:cs="Times New Roman"/>
        </w:rPr>
        <w:t xml:space="preserve">. </w:t>
      </w:r>
    </w:p>
    <w:p w14:paraId="4E042E46" w14:textId="36073342" w:rsidR="00511319" w:rsidRPr="00511319" w:rsidRDefault="00F039DE" w:rsidP="00BE3F0B">
      <w:r w:rsidRPr="00511319">
        <w:rPr>
          <w:rFonts w:cs="Times New Roman"/>
        </w:rPr>
        <w:t>The IUPAC chemical name of picloram is 4-amino-3,5,6-trichloropicolinic acid, and it is a colourless</w:t>
      </w:r>
      <w:r w:rsidR="00C068F8">
        <w:rPr>
          <w:rFonts w:cs="Times New Roman"/>
        </w:rPr>
        <w:t>-</w:t>
      </w:r>
      <w:r w:rsidRPr="00511319">
        <w:rPr>
          <w:rFonts w:cs="Times New Roman"/>
        </w:rPr>
        <w:t>to</w:t>
      </w:r>
      <w:r w:rsidR="00C068F8">
        <w:rPr>
          <w:rFonts w:cs="Times New Roman"/>
        </w:rPr>
        <w:t>-</w:t>
      </w:r>
      <w:r w:rsidRPr="00511319">
        <w:rPr>
          <w:rFonts w:cs="Times New Roman"/>
        </w:rPr>
        <w:t>white</w:t>
      </w:r>
      <w:r w:rsidR="00C068F8">
        <w:rPr>
          <w:rFonts w:cs="Times New Roman"/>
        </w:rPr>
        <w:t>-</w:t>
      </w:r>
      <w:r w:rsidRPr="00511319">
        <w:rPr>
          <w:rFonts w:cs="Times New Roman"/>
        </w:rPr>
        <w:t>to</w:t>
      </w:r>
      <w:r w:rsidR="00C068F8">
        <w:rPr>
          <w:rFonts w:cs="Times New Roman"/>
        </w:rPr>
        <w:t>-</w:t>
      </w:r>
      <w:r w:rsidRPr="00511319">
        <w:rPr>
          <w:rFonts w:cs="Times New Roman"/>
        </w:rPr>
        <w:t>tan solid</w:t>
      </w:r>
      <w:r w:rsidR="00C068F8">
        <w:rPr>
          <w:rFonts w:cs="Times New Roman"/>
        </w:rPr>
        <w:t xml:space="preserve"> (</w:t>
      </w:r>
      <w:r w:rsidRPr="00511319">
        <w:rPr>
          <w:rFonts w:cs="Times New Roman"/>
        </w:rPr>
        <w:t>powder or crystals</w:t>
      </w:r>
      <w:r w:rsidR="00C068F8">
        <w:rPr>
          <w:rFonts w:cs="Times New Roman"/>
        </w:rPr>
        <w:t>)</w:t>
      </w:r>
      <w:r w:rsidRPr="00511319">
        <w:rPr>
          <w:rFonts w:cs="Times New Roman"/>
        </w:rPr>
        <w:t xml:space="preserve"> with a chlorine-like odour</w:t>
      </w:r>
      <w:r w:rsidR="000B7559">
        <w:rPr>
          <w:rFonts w:cs="Times New Roman"/>
        </w:rPr>
        <w:t xml:space="preserve"> (</w:t>
      </w:r>
      <w:r w:rsidR="00B621A2">
        <w:rPr>
          <w:rFonts w:cs="Times New Roman"/>
        </w:rPr>
        <w:t>NCBI 2020</w:t>
      </w:r>
      <w:r w:rsidR="000B7559">
        <w:rPr>
          <w:rFonts w:cs="Times New Roman"/>
        </w:rPr>
        <w:t>)</w:t>
      </w:r>
      <w:r w:rsidRPr="00511319">
        <w:rPr>
          <w:rFonts w:cs="Times New Roman"/>
        </w:rPr>
        <w:t xml:space="preserve">. The molecular weights of some of the forms of picloram are: </w:t>
      </w:r>
      <w:r w:rsidRPr="00511319">
        <w:t>241.46</w:t>
      </w:r>
      <w:r w:rsidR="00BE3F0B">
        <w:t> </w:t>
      </w:r>
      <w:r w:rsidRPr="00511319">
        <w:t>g/mol for the acid; 279.6</w:t>
      </w:r>
      <w:r w:rsidR="00BE3F0B">
        <w:t> </w:t>
      </w:r>
      <w:r w:rsidRPr="00511319">
        <w:t>g/mol for the potassium salt, 364.68</w:t>
      </w:r>
      <w:r w:rsidR="00BE3F0B">
        <w:t> </w:t>
      </w:r>
      <w:r w:rsidR="00151B70">
        <w:t xml:space="preserve">g/mol </w:t>
      </w:r>
      <w:r w:rsidRPr="00511319">
        <w:t>for the isooctyl ester</w:t>
      </w:r>
      <w:r w:rsidR="00AC47BB">
        <w:t>;</w:t>
      </w:r>
      <w:r w:rsidRPr="00511319">
        <w:t xml:space="preserve"> and 432.8</w:t>
      </w:r>
      <w:r w:rsidR="00BE3F0B">
        <w:t> </w:t>
      </w:r>
      <w:r w:rsidRPr="00511319">
        <w:t>g/mol for the triisopropanolamine salt</w:t>
      </w:r>
      <w:r w:rsidR="000B7559">
        <w:t xml:space="preserve"> (</w:t>
      </w:r>
      <w:r w:rsidR="00B621A2">
        <w:t>NCBI 2020</w:t>
      </w:r>
      <w:r w:rsidR="000B7559">
        <w:t>)</w:t>
      </w:r>
      <w:r w:rsidRPr="00511319">
        <w:t xml:space="preserve">. The structure of picloram is shown in </w:t>
      </w:r>
      <w:r w:rsidR="006F28FE">
        <w:fldChar w:fldCharType="begin"/>
      </w:r>
      <w:r w:rsidR="006F28FE">
        <w:instrText xml:space="preserve"> REF _Ref80542849 \h </w:instrText>
      </w:r>
      <w:r w:rsidR="006F28FE">
        <w:fldChar w:fldCharType="separate"/>
      </w:r>
      <w:r w:rsidR="006700C9">
        <w:t>Figure </w:t>
      </w:r>
      <w:r w:rsidR="006700C9">
        <w:rPr>
          <w:noProof/>
        </w:rPr>
        <w:t>1</w:t>
      </w:r>
      <w:r w:rsidR="006F28FE">
        <w:fldChar w:fldCharType="end"/>
      </w:r>
      <w:r w:rsidRPr="00511319">
        <w:t>.</w:t>
      </w:r>
    </w:p>
    <w:p w14:paraId="4E042E47" w14:textId="77777777" w:rsidR="00511319" w:rsidRDefault="00F039DE" w:rsidP="00246113">
      <w:pPr>
        <w:rPr>
          <w:noProof/>
          <w:lang w:eastAsia="en-AU"/>
        </w:rPr>
      </w:pPr>
      <w:r w:rsidRPr="00511319">
        <w:rPr>
          <w:noProof/>
          <w:lang w:eastAsia="en-AU"/>
        </w:rPr>
        <w:drawing>
          <wp:inline distT="0" distB="0" distL="0" distR="0" wp14:anchorId="4E0430E2" wp14:editId="4E0430E3">
            <wp:extent cx="1501322" cy="1207008"/>
            <wp:effectExtent l="0" t="0" r="3810" b="0"/>
            <wp:docPr id="5" name="Picture 5" descr="Structure of picloram&#10;&#10;Figure shows the chemical structure of piclo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48932" name="Picture 5" descr="Structure of picloram&#10;&#10;Figure shows the chemical structure of picloram."/>
                    <pic:cNvPicPr/>
                  </pic:nvPicPr>
                  <pic:blipFill>
                    <a:blip r:embed="rId22" cstate="print"/>
                    <a:srcRect l="7426" t="2718" r="10857" b="5064"/>
                    <a:stretch>
                      <a:fillRect/>
                    </a:stretch>
                  </pic:blipFill>
                  <pic:spPr bwMode="auto">
                    <a:xfrm>
                      <a:off x="0" y="0"/>
                      <a:ext cx="1512386" cy="1215903"/>
                    </a:xfrm>
                    <a:prstGeom prst="rect">
                      <a:avLst/>
                    </a:prstGeom>
                    <a:ln>
                      <a:noFill/>
                    </a:ln>
                    <a:extLst>
                      <a:ext uri="{53640926-AAD7-44D8-BBD7-CCE9431645EC}">
                        <a14:shadowObscured xmlns:a14="http://schemas.microsoft.com/office/drawing/2010/main"/>
                      </a:ext>
                    </a:extLst>
                  </pic:spPr>
                </pic:pic>
              </a:graphicData>
            </a:graphic>
          </wp:inline>
        </w:drawing>
      </w:r>
    </w:p>
    <w:p w14:paraId="4E042E48" w14:textId="1BD345D4" w:rsidR="00511319" w:rsidRPr="00844202" w:rsidRDefault="00F039DE" w:rsidP="00246113">
      <w:pPr>
        <w:pStyle w:val="Caption"/>
        <w:rPr>
          <w:noProof/>
          <w:lang w:eastAsia="en-AU"/>
        </w:rPr>
      </w:pPr>
      <w:bookmarkStart w:id="3" w:name="_Ref80542849"/>
      <w:bookmarkStart w:id="4" w:name="_Toc80543141"/>
      <w:r>
        <w:t>Figure </w:t>
      </w:r>
      <w:r w:rsidR="006F6974">
        <w:fldChar w:fldCharType="begin"/>
      </w:r>
      <w:r>
        <w:instrText xml:space="preserve"> SEQ Figure \* ARABIC </w:instrText>
      </w:r>
      <w:r w:rsidR="006F6974">
        <w:fldChar w:fldCharType="separate"/>
      </w:r>
      <w:r w:rsidR="006700C9">
        <w:rPr>
          <w:noProof/>
        </w:rPr>
        <w:t>1</w:t>
      </w:r>
      <w:r w:rsidR="006F6974">
        <w:rPr>
          <w:noProof/>
        </w:rPr>
        <w:fldChar w:fldCharType="end"/>
      </w:r>
      <w:bookmarkEnd w:id="3"/>
      <w:r>
        <w:t xml:space="preserve"> </w:t>
      </w:r>
      <w:r w:rsidRPr="00844202">
        <w:rPr>
          <w:noProof/>
          <w:lang w:eastAsia="en-AU"/>
        </w:rPr>
        <w:t xml:space="preserve">Structure of </w:t>
      </w:r>
      <w:r w:rsidR="00BE3F0B">
        <w:rPr>
          <w:noProof/>
          <w:lang w:eastAsia="en-AU"/>
        </w:rPr>
        <w:t>p</w:t>
      </w:r>
      <w:r w:rsidRPr="00844202">
        <w:rPr>
          <w:noProof/>
          <w:lang w:eastAsia="en-AU"/>
        </w:rPr>
        <w:t>icloram</w:t>
      </w:r>
      <w:bookmarkEnd w:id="4"/>
    </w:p>
    <w:p w14:paraId="4E042E49" w14:textId="77777777" w:rsidR="00511319" w:rsidRPr="00511319" w:rsidRDefault="00F039DE" w:rsidP="00511319">
      <w:pPr>
        <w:rPr>
          <w:rFonts w:cs="Times New Roman"/>
        </w:rPr>
      </w:pPr>
      <w:r w:rsidRPr="00511319">
        <w:rPr>
          <w:rFonts w:cs="Times New Roman"/>
        </w:rPr>
        <w:t>The vapour pressure</w:t>
      </w:r>
      <w:r w:rsidR="00B003C7">
        <w:rPr>
          <w:rFonts w:cs="Times New Roman"/>
        </w:rPr>
        <w:t>s</w:t>
      </w:r>
      <w:r w:rsidRPr="00511319">
        <w:rPr>
          <w:rFonts w:cs="Times New Roman"/>
        </w:rPr>
        <w:t xml:space="preserve"> of picloram </w:t>
      </w:r>
      <w:r w:rsidR="00B003C7">
        <w:rPr>
          <w:rFonts w:cs="Times New Roman"/>
        </w:rPr>
        <w:t xml:space="preserve">and its isooctyl ester </w:t>
      </w:r>
      <w:r w:rsidR="00A73995" w:rsidRPr="00A73995">
        <w:rPr>
          <w:rFonts w:cs="Times New Roman"/>
        </w:rPr>
        <w:t xml:space="preserve">(at 25°C) are in the order of </w:t>
      </w:r>
      <w:r w:rsidRPr="00511319">
        <w:rPr>
          <w:rFonts w:cs="Times New Roman"/>
        </w:rPr>
        <w:t>6.0x10</w:t>
      </w:r>
      <w:r w:rsidRPr="00A73995">
        <w:rPr>
          <w:rFonts w:cs="Times New Roman"/>
          <w:vertAlign w:val="superscript"/>
        </w:rPr>
        <w:t>-16</w:t>
      </w:r>
      <w:r w:rsidR="003A5D93">
        <w:rPr>
          <w:rFonts w:cs="Times New Roman"/>
        </w:rPr>
        <w:t> </w:t>
      </w:r>
      <w:r w:rsidR="003A5D93" w:rsidRPr="00511319">
        <w:rPr>
          <w:rFonts w:cs="Times New Roman"/>
        </w:rPr>
        <w:t>mm</w:t>
      </w:r>
      <w:r w:rsidR="003A5D93">
        <w:rPr>
          <w:rFonts w:cs="Times New Roman"/>
        </w:rPr>
        <w:t> </w:t>
      </w:r>
      <w:r w:rsidR="003A5D93" w:rsidRPr="00511319">
        <w:rPr>
          <w:rFonts w:cs="Times New Roman"/>
        </w:rPr>
        <w:t>Hg</w:t>
      </w:r>
      <w:r w:rsidR="003A5D93">
        <w:rPr>
          <w:rFonts w:cs="Times New Roman"/>
        </w:rPr>
        <w:t xml:space="preserve"> to</w:t>
      </w:r>
      <w:r w:rsidR="00A73995">
        <w:rPr>
          <w:rFonts w:cs="Times New Roman"/>
        </w:rPr>
        <w:t xml:space="preserve"> </w:t>
      </w:r>
      <w:r w:rsidRPr="00511319">
        <w:rPr>
          <w:rFonts w:cs="Times New Roman"/>
        </w:rPr>
        <w:t>6.0x10</w:t>
      </w:r>
      <w:r w:rsidRPr="00A73995">
        <w:rPr>
          <w:rFonts w:cs="Times New Roman"/>
          <w:vertAlign w:val="superscript"/>
        </w:rPr>
        <w:t>-10</w:t>
      </w:r>
      <w:r w:rsidR="003A5D93">
        <w:rPr>
          <w:rFonts w:cs="Times New Roman"/>
        </w:rPr>
        <w:t> </w:t>
      </w:r>
      <w:r w:rsidRPr="00511319">
        <w:rPr>
          <w:rFonts w:cs="Times New Roman"/>
        </w:rPr>
        <w:t>mm</w:t>
      </w:r>
      <w:r w:rsidR="003A5D93">
        <w:rPr>
          <w:rFonts w:cs="Times New Roman"/>
        </w:rPr>
        <w:t> </w:t>
      </w:r>
      <w:r w:rsidRPr="00511319">
        <w:rPr>
          <w:rFonts w:cs="Times New Roman"/>
        </w:rPr>
        <w:t xml:space="preserve">Hg </w:t>
      </w:r>
      <w:r w:rsidR="000B7559">
        <w:rPr>
          <w:rFonts w:cs="Times New Roman"/>
        </w:rPr>
        <w:t>(EFSA 2009</w:t>
      </w:r>
      <w:r w:rsidR="00830E89">
        <w:rPr>
          <w:rFonts w:cs="Times New Roman"/>
        </w:rPr>
        <w:t>,</w:t>
      </w:r>
      <w:r w:rsidR="000B7559">
        <w:rPr>
          <w:rFonts w:cs="Times New Roman"/>
        </w:rPr>
        <w:t xml:space="preserve"> </w:t>
      </w:r>
      <w:r w:rsidR="00B621A2">
        <w:rPr>
          <w:rFonts w:cs="Times New Roman"/>
        </w:rPr>
        <w:t>NCBI 2020</w:t>
      </w:r>
      <w:r w:rsidR="000B7559">
        <w:rPr>
          <w:rFonts w:cs="Times New Roman"/>
        </w:rPr>
        <w:t>)</w:t>
      </w:r>
      <w:r w:rsidR="00B003C7">
        <w:rPr>
          <w:rFonts w:cs="Times New Roman"/>
        </w:rPr>
        <w:t xml:space="preserve"> and 3.0</w:t>
      </w:r>
      <w:r w:rsidR="00B003C7" w:rsidRPr="00511319">
        <w:rPr>
          <w:rFonts w:cs="Times New Roman"/>
        </w:rPr>
        <w:t>x10</w:t>
      </w:r>
      <w:r w:rsidR="00B003C7" w:rsidRPr="00916AE2">
        <w:rPr>
          <w:rFonts w:cs="Times New Roman"/>
          <w:vertAlign w:val="superscript"/>
        </w:rPr>
        <w:t>-</w:t>
      </w:r>
      <w:r w:rsidR="00B003C7">
        <w:rPr>
          <w:rFonts w:cs="Times New Roman"/>
          <w:vertAlign w:val="superscript"/>
        </w:rPr>
        <w:t>7</w:t>
      </w:r>
      <w:r w:rsidR="009E5550">
        <w:rPr>
          <w:rFonts w:cs="Times New Roman"/>
        </w:rPr>
        <w:t> mm Hg to</w:t>
      </w:r>
      <w:r w:rsidR="00A73995">
        <w:rPr>
          <w:rFonts w:cs="Times New Roman"/>
        </w:rPr>
        <w:t xml:space="preserve"> 1.9x</w:t>
      </w:r>
      <w:r w:rsidR="00A73995" w:rsidRPr="00511319">
        <w:rPr>
          <w:rFonts w:cs="Times New Roman"/>
        </w:rPr>
        <w:t>10</w:t>
      </w:r>
      <w:r w:rsidR="00A73995" w:rsidRPr="00916AE2">
        <w:rPr>
          <w:rFonts w:cs="Times New Roman"/>
          <w:vertAlign w:val="superscript"/>
        </w:rPr>
        <w:t>-</w:t>
      </w:r>
      <w:r w:rsidR="00A73995">
        <w:rPr>
          <w:rFonts w:cs="Times New Roman"/>
          <w:vertAlign w:val="superscript"/>
        </w:rPr>
        <w:t>7</w:t>
      </w:r>
      <w:r w:rsidR="009E5550">
        <w:rPr>
          <w:rFonts w:cs="Times New Roman"/>
        </w:rPr>
        <w:t> </w:t>
      </w:r>
      <w:r w:rsidR="00B003C7">
        <w:rPr>
          <w:rFonts w:cs="Times New Roman"/>
        </w:rPr>
        <w:t>mm</w:t>
      </w:r>
      <w:r w:rsidR="009E5550">
        <w:rPr>
          <w:rFonts w:cs="Times New Roman"/>
        </w:rPr>
        <w:t> </w:t>
      </w:r>
      <w:r w:rsidR="00B003C7">
        <w:rPr>
          <w:rFonts w:cs="Times New Roman"/>
        </w:rPr>
        <w:t>Hg (Hamilton 1980), respectively</w:t>
      </w:r>
      <w:r w:rsidRPr="00511319">
        <w:rPr>
          <w:rFonts w:cs="Times New Roman"/>
        </w:rPr>
        <w:t>, indicating that volatile losses are not an important fate mechanism.</w:t>
      </w:r>
      <w:r w:rsidR="00DA50FB">
        <w:rPr>
          <w:rFonts w:cs="Times New Roman"/>
        </w:rPr>
        <w:t xml:space="preserve"> </w:t>
      </w:r>
      <w:r w:rsidR="00AD7CA1">
        <w:rPr>
          <w:rFonts w:cs="Times New Roman"/>
        </w:rPr>
        <w:t>L</w:t>
      </w:r>
      <w:r w:rsidR="00DA50FB" w:rsidRPr="00511319">
        <w:rPr>
          <w:rFonts w:cs="Times New Roman"/>
        </w:rPr>
        <w:t>ong</w:t>
      </w:r>
      <w:r w:rsidRPr="00511319">
        <w:rPr>
          <w:rFonts w:cs="Times New Roman"/>
        </w:rPr>
        <w:t xml:space="preserve">-range </w:t>
      </w:r>
      <w:r w:rsidRPr="00511319">
        <w:rPr>
          <w:rFonts w:cs="Times New Roman"/>
        </w:rPr>
        <w:lastRenderedPageBreak/>
        <w:t>atmospheric transport is also unlikely given an estimated atmospheric half-life of 12.5</w:t>
      </w:r>
      <w:r w:rsidR="00246113">
        <w:rPr>
          <w:rFonts w:cs="Times New Roman"/>
        </w:rPr>
        <w:t> </w:t>
      </w:r>
      <w:r w:rsidRPr="00511319">
        <w:rPr>
          <w:rFonts w:cs="Times New Roman"/>
        </w:rPr>
        <w:t>hours</w:t>
      </w:r>
      <w:r w:rsidR="000B7559">
        <w:rPr>
          <w:rFonts w:cs="Times New Roman"/>
        </w:rPr>
        <w:t xml:space="preserve"> (EFSA 2009)</w:t>
      </w:r>
      <w:r w:rsidRPr="00511319">
        <w:rPr>
          <w:rFonts w:cs="Times New Roman"/>
        </w:rPr>
        <w:t>.</w:t>
      </w:r>
    </w:p>
    <w:p w14:paraId="4E042E4A" w14:textId="77777777" w:rsidR="00511319" w:rsidRPr="00511319" w:rsidRDefault="00F039DE" w:rsidP="00511319">
      <w:pPr>
        <w:rPr>
          <w:rFonts w:cs="Times New Roman"/>
        </w:rPr>
      </w:pPr>
      <w:r w:rsidRPr="00511319">
        <w:rPr>
          <w:rFonts w:cs="Times New Roman"/>
        </w:rPr>
        <w:t>The solubility of picloram in water varies in its different forms. For the acid, solubility is reported to range from 430 mg/L to 560</w:t>
      </w:r>
      <w:r w:rsidR="004F73D4">
        <w:rPr>
          <w:rFonts w:cs="Times New Roman"/>
        </w:rPr>
        <w:t> </w:t>
      </w:r>
      <w:r w:rsidRPr="00511319">
        <w:rPr>
          <w:rFonts w:cs="Times New Roman"/>
        </w:rPr>
        <w:t>mg/L</w:t>
      </w:r>
      <w:r w:rsidR="000B7559">
        <w:rPr>
          <w:rFonts w:cs="Times New Roman"/>
        </w:rPr>
        <w:t xml:space="preserve"> (USEPA 1995</w:t>
      </w:r>
      <w:r w:rsidR="004F73D4">
        <w:rPr>
          <w:rFonts w:cs="Times New Roman"/>
        </w:rPr>
        <w:t>,</w:t>
      </w:r>
      <w:r w:rsidR="000B7559">
        <w:rPr>
          <w:rFonts w:cs="Times New Roman"/>
        </w:rPr>
        <w:t xml:space="preserve"> </w:t>
      </w:r>
      <w:r w:rsidR="00B621A2">
        <w:rPr>
          <w:rFonts w:cs="Times New Roman"/>
        </w:rPr>
        <w:t>NCBI 2020</w:t>
      </w:r>
      <w:r w:rsidR="000B7559">
        <w:rPr>
          <w:rFonts w:cs="Times New Roman"/>
        </w:rPr>
        <w:t>)</w:t>
      </w:r>
      <w:r w:rsidR="008E0342">
        <w:rPr>
          <w:rFonts w:cs="Times New Roman"/>
        </w:rPr>
        <w:t xml:space="preserve"> but is also known to be pH-dependent (Cheung &amp; Biggar 1974)</w:t>
      </w:r>
      <w:r w:rsidRPr="00511319">
        <w:rPr>
          <w:rFonts w:cs="Times New Roman"/>
        </w:rPr>
        <w:t>. Solubility of the potassium salt is much higher</w:t>
      </w:r>
      <w:r w:rsidR="00AD7CA1">
        <w:rPr>
          <w:rFonts w:cs="Times New Roman"/>
        </w:rPr>
        <w:t>:</w:t>
      </w:r>
      <w:r w:rsidRPr="00511319">
        <w:rPr>
          <w:rFonts w:cs="Times New Roman"/>
        </w:rPr>
        <w:t xml:space="preserve"> 740</w:t>
      </w:r>
      <w:r w:rsidR="004F73D4">
        <w:rPr>
          <w:rFonts w:cs="Times New Roman"/>
        </w:rPr>
        <w:t> </w:t>
      </w:r>
      <w:r w:rsidRPr="00511319">
        <w:rPr>
          <w:rFonts w:cs="Times New Roman"/>
        </w:rPr>
        <w:t>000</w:t>
      </w:r>
      <w:r w:rsidR="004F73D4">
        <w:rPr>
          <w:rFonts w:cs="Times New Roman"/>
        </w:rPr>
        <w:t> </w:t>
      </w:r>
      <w:r w:rsidRPr="00511319">
        <w:rPr>
          <w:rFonts w:cs="Times New Roman"/>
        </w:rPr>
        <w:t>mg/L at 20</w:t>
      </w:r>
      <w:r w:rsidR="00AD7CA1">
        <w:rPr>
          <w:rFonts w:cstheme="minorHAnsi"/>
        </w:rPr>
        <w:t>°</w:t>
      </w:r>
      <w:r w:rsidRPr="00511319">
        <w:rPr>
          <w:rFonts w:cs="Times New Roman"/>
        </w:rPr>
        <w:t>C</w:t>
      </w:r>
      <w:r w:rsidR="000B7559">
        <w:rPr>
          <w:rFonts w:cs="Times New Roman"/>
        </w:rPr>
        <w:t xml:space="preserve"> (USEPA 1995)</w:t>
      </w:r>
      <w:r w:rsidRPr="00511319">
        <w:rPr>
          <w:rFonts w:cs="Times New Roman"/>
        </w:rPr>
        <w:t>. The</w:t>
      </w:r>
      <w:r w:rsidR="003478F8">
        <w:rPr>
          <w:rFonts w:cs="Times New Roman"/>
        </w:rPr>
        <w:t xml:space="preserve"> isooctyl</w:t>
      </w:r>
      <w:r w:rsidRPr="00511319">
        <w:rPr>
          <w:rFonts w:cs="Times New Roman"/>
        </w:rPr>
        <w:t xml:space="preserve"> ester derivative</w:t>
      </w:r>
      <w:r w:rsidR="0009682D">
        <w:rPr>
          <w:rFonts w:cs="Times New Roman"/>
        </w:rPr>
        <w:t xml:space="preserve"> </w:t>
      </w:r>
      <w:r w:rsidR="00AD7CA1">
        <w:rPr>
          <w:rFonts w:cs="Times New Roman"/>
        </w:rPr>
        <w:t>has</w:t>
      </w:r>
      <w:r w:rsidRPr="00511319">
        <w:rPr>
          <w:rFonts w:cs="Times New Roman"/>
        </w:rPr>
        <w:t xml:space="preserve"> low solubility in water</w:t>
      </w:r>
      <w:r w:rsidR="00AD7CA1">
        <w:rPr>
          <w:rFonts w:cs="Times New Roman"/>
        </w:rPr>
        <w:t>:</w:t>
      </w:r>
      <w:r w:rsidRPr="00511319">
        <w:rPr>
          <w:rFonts w:cs="Times New Roman"/>
        </w:rPr>
        <w:t xml:space="preserve"> 0.23</w:t>
      </w:r>
      <w:r w:rsidR="004F73D4">
        <w:rPr>
          <w:rFonts w:cs="Times New Roman"/>
        </w:rPr>
        <w:t> </w:t>
      </w:r>
      <w:r w:rsidRPr="00511319">
        <w:rPr>
          <w:rFonts w:cs="Times New Roman"/>
        </w:rPr>
        <w:t>mg/L</w:t>
      </w:r>
      <w:r w:rsidR="000B7559">
        <w:rPr>
          <w:rFonts w:cs="Times New Roman"/>
        </w:rPr>
        <w:t xml:space="preserve"> (USEPA 1995</w:t>
      </w:r>
      <w:r w:rsidR="008D7BEB">
        <w:rPr>
          <w:rFonts w:cs="Times New Roman"/>
        </w:rPr>
        <w:t>,</w:t>
      </w:r>
      <w:r w:rsidR="000B7559">
        <w:rPr>
          <w:rFonts w:cs="Times New Roman"/>
        </w:rPr>
        <w:t xml:space="preserve"> </w:t>
      </w:r>
      <w:r w:rsidR="00B621A2">
        <w:rPr>
          <w:rFonts w:cs="Times New Roman"/>
        </w:rPr>
        <w:t>NCBI 2020</w:t>
      </w:r>
      <w:r w:rsidR="000B7559">
        <w:rPr>
          <w:rFonts w:cs="Times New Roman"/>
        </w:rPr>
        <w:t>)</w:t>
      </w:r>
      <w:r w:rsidRPr="00511319">
        <w:rPr>
          <w:rFonts w:cs="Times New Roman"/>
        </w:rPr>
        <w:t>.</w:t>
      </w:r>
      <w:r w:rsidR="00874FB1">
        <w:rPr>
          <w:rFonts w:cs="Times New Roman"/>
        </w:rPr>
        <w:t xml:space="preserve"> </w:t>
      </w:r>
    </w:p>
    <w:p w14:paraId="4E042E4B" w14:textId="77777777" w:rsidR="00511319" w:rsidRPr="00511319" w:rsidRDefault="00F039DE" w:rsidP="00511319">
      <w:pPr>
        <w:rPr>
          <w:rFonts w:cs="Times New Roman"/>
        </w:rPr>
      </w:pPr>
      <w:r w:rsidRPr="00511319">
        <w:rPr>
          <w:rFonts w:cs="Times New Roman"/>
        </w:rPr>
        <w:t>The</w:t>
      </w:r>
      <w:r w:rsidR="00E10AA5">
        <w:rPr>
          <w:rFonts w:cs="Times New Roman"/>
        </w:rPr>
        <w:t xml:space="preserve"> acid dissociation constant</w:t>
      </w:r>
      <w:r w:rsidRPr="00511319">
        <w:rPr>
          <w:rFonts w:cs="Times New Roman"/>
        </w:rPr>
        <w:t xml:space="preserve"> </w:t>
      </w:r>
      <w:r w:rsidR="00E10AA5">
        <w:rPr>
          <w:rFonts w:cs="Times New Roman"/>
        </w:rPr>
        <w:t>(</w:t>
      </w:r>
      <w:r w:rsidRPr="00511319">
        <w:rPr>
          <w:rFonts w:cs="Times New Roman"/>
        </w:rPr>
        <w:t>pKa</w:t>
      </w:r>
      <w:r w:rsidR="00E10AA5">
        <w:rPr>
          <w:rFonts w:cs="Times New Roman"/>
        </w:rPr>
        <w:t>)</w:t>
      </w:r>
      <w:r w:rsidRPr="00511319">
        <w:rPr>
          <w:rFonts w:cs="Times New Roman"/>
        </w:rPr>
        <w:t xml:space="preserve"> of picloram </w:t>
      </w:r>
      <w:r w:rsidR="003478F8" w:rsidRPr="00511319">
        <w:rPr>
          <w:rFonts w:cs="Times New Roman"/>
        </w:rPr>
        <w:t xml:space="preserve">is 2.3 </w:t>
      </w:r>
      <w:r w:rsidR="003478F8">
        <w:rPr>
          <w:rFonts w:cs="Times New Roman"/>
        </w:rPr>
        <w:t xml:space="preserve">for </w:t>
      </w:r>
      <w:r w:rsidRPr="00511319">
        <w:rPr>
          <w:rFonts w:cs="Times New Roman"/>
        </w:rPr>
        <w:t xml:space="preserve">acid and </w:t>
      </w:r>
      <w:r w:rsidR="003478F8" w:rsidRPr="00511319">
        <w:rPr>
          <w:rFonts w:cs="Times New Roman"/>
        </w:rPr>
        <w:t>approximately 2</w:t>
      </w:r>
      <w:r w:rsidR="003478F8">
        <w:rPr>
          <w:rFonts w:cs="Times New Roman"/>
        </w:rPr>
        <w:t xml:space="preserve"> </w:t>
      </w:r>
      <w:r w:rsidRPr="00511319">
        <w:rPr>
          <w:rFonts w:cs="Times New Roman"/>
        </w:rPr>
        <w:t xml:space="preserve">for picloram salts, indicating that picloram acid and salts will </w:t>
      </w:r>
      <w:r w:rsidR="00E10AA5">
        <w:rPr>
          <w:rFonts w:cs="Times New Roman"/>
        </w:rPr>
        <w:t xml:space="preserve">readily </w:t>
      </w:r>
      <w:r w:rsidRPr="00511319">
        <w:rPr>
          <w:rFonts w:cs="Times New Roman"/>
        </w:rPr>
        <w:t>dissociate into the anionic form in the environment</w:t>
      </w:r>
      <w:r w:rsidR="000B7559">
        <w:rPr>
          <w:rFonts w:cs="Times New Roman"/>
        </w:rPr>
        <w:t xml:space="preserve"> (USEPA 1995</w:t>
      </w:r>
      <w:r w:rsidR="008D7BEB">
        <w:rPr>
          <w:rFonts w:cs="Times New Roman"/>
        </w:rPr>
        <w:t>,</w:t>
      </w:r>
      <w:r w:rsidR="000B7559">
        <w:rPr>
          <w:rFonts w:cs="Times New Roman"/>
        </w:rPr>
        <w:t xml:space="preserve"> </w:t>
      </w:r>
      <w:r w:rsidR="00B621A2">
        <w:rPr>
          <w:rFonts w:cs="Times New Roman"/>
        </w:rPr>
        <w:t>NCBI 2020</w:t>
      </w:r>
      <w:r w:rsidR="000B7559">
        <w:rPr>
          <w:rFonts w:cs="Times New Roman"/>
        </w:rPr>
        <w:t>)</w:t>
      </w:r>
      <w:r w:rsidRPr="00511319">
        <w:rPr>
          <w:rFonts w:cs="Times New Roman"/>
        </w:rPr>
        <w:t>. The isooctyl ester form of picloram is expected to degrade rapidly in the environment (reported aerobic half-life of 2</w:t>
      </w:r>
      <w:r w:rsidR="003478F8">
        <w:rPr>
          <w:rFonts w:cs="Times New Roman"/>
        </w:rPr>
        <w:t> </w:t>
      </w:r>
      <w:r w:rsidRPr="00511319">
        <w:rPr>
          <w:rFonts w:cs="Times New Roman"/>
        </w:rPr>
        <w:t>days) to the same anion as the acid and salts</w:t>
      </w:r>
      <w:r w:rsidR="000B7559">
        <w:rPr>
          <w:rFonts w:cs="Times New Roman"/>
        </w:rPr>
        <w:t xml:space="preserve"> (USEPA 1995)</w:t>
      </w:r>
      <w:r w:rsidRPr="00511319">
        <w:rPr>
          <w:rFonts w:cs="Times New Roman"/>
        </w:rPr>
        <w:t xml:space="preserve">. </w:t>
      </w:r>
      <w:r w:rsidR="003478F8">
        <w:rPr>
          <w:rFonts w:cs="Times New Roman"/>
        </w:rPr>
        <w:t>T</w:t>
      </w:r>
      <w:r w:rsidR="003478F8" w:rsidRPr="00511319">
        <w:rPr>
          <w:rFonts w:cs="Times New Roman"/>
        </w:rPr>
        <w:t>herefore</w:t>
      </w:r>
      <w:r w:rsidR="003478F8">
        <w:rPr>
          <w:rFonts w:cs="Times New Roman"/>
        </w:rPr>
        <w:t>, t</w:t>
      </w:r>
      <w:r w:rsidRPr="00511319">
        <w:rPr>
          <w:rFonts w:cs="Times New Roman"/>
        </w:rPr>
        <w:t xml:space="preserve">he environmental fate of the various forms of picloram </w:t>
      </w:r>
      <w:r w:rsidR="003649DA">
        <w:rPr>
          <w:rFonts w:cs="Times New Roman"/>
        </w:rPr>
        <w:t>are</w:t>
      </w:r>
      <w:r w:rsidR="003649DA" w:rsidRPr="00511319">
        <w:rPr>
          <w:rFonts w:cs="Times New Roman"/>
        </w:rPr>
        <w:t xml:space="preserve"> </w:t>
      </w:r>
      <w:r w:rsidRPr="00511319">
        <w:rPr>
          <w:rFonts w:cs="Times New Roman"/>
        </w:rPr>
        <w:t>expected to be similar</w:t>
      </w:r>
      <w:r w:rsidR="000B7559">
        <w:rPr>
          <w:rFonts w:cs="Times New Roman"/>
        </w:rPr>
        <w:t xml:space="preserve"> (USEPA 1995)</w:t>
      </w:r>
      <w:r w:rsidRPr="00511319">
        <w:rPr>
          <w:rFonts w:cs="Times New Roman"/>
        </w:rPr>
        <w:t>.</w:t>
      </w:r>
    </w:p>
    <w:p w14:paraId="4E042E4C" w14:textId="77777777" w:rsidR="00511319" w:rsidRPr="00511319" w:rsidRDefault="00F039DE" w:rsidP="00511319">
      <w:pPr>
        <w:rPr>
          <w:rFonts w:cs="Times New Roman"/>
        </w:rPr>
      </w:pPr>
      <w:r>
        <w:rPr>
          <w:rFonts w:cs="Times New Roman"/>
        </w:rPr>
        <w:t>P</w:t>
      </w:r>
      <w:r w:rsidRPr="00511319">
        <w:rPr>
          <w:rFonts w:cs="Times New Roman"/>
        </w:rPr>
        <w:t xml:space="preserve">icloram </w:t>
      </w:r>
      <w:r>
        <w:rPr>
          <w:rFonts w:cs="Times New Roman"/>
        </w:rPr>
        <w:t xml:space="preserve">(as the </w:t>
      </w:r>
      <w:r w:rsidRPr="00511319">
        <w:rPr>
          <w:rFonts w:cs="Times New Roman"/>
        </w:rPr>
        <w:t>anion</w:t>
      </w:r>
      <w:r>
        <w:rPr>
          <w:rFonts w:cs="Times New Roman"/>
        </w:rPr>
        <w:t>)</w:t>
      </w:r>
      <w:r w:rsidRPr="00511319">
        <w:rPr>
          <w:rFonts w:cs="Times New Roman"/>
        </w:rPr>
        <w:t xml:space="preserve"> is not readily degraded in the environment, and </w:t>
      </w:r>
      <w:r w:rsidR="003478F8">
        <w:rPr>
          <w:rFonts w:cs="Times New Roman"/>
        </w:rPr>
        <w:t xml:space="preserve">it </w:t>
      </w:r>
      <w:r w:rsidRPr="00511319">
        <w:rPr>
          <w:rFonts w:cs="Times New Roman"/>
        </w:rPr>
        <w:t xml:space="preserve">has an estimated half-life in aerobic soils ranging from a month to several years, depending on soil type, organic content, </w:t>
      </w:r>
      <w:r w:rsidR="003478F8">
        <w:rPr>
          <w:rFonts w:cs="Times New Roman"/>
        </w:rPr>
        <w:t xml:space="preserve">and </w:t>
      </w:r>
      <w:r w:rsidRPr="00511319">
        <w:rPr>
          <w:rFonts w:cs="Times New Roman"/>
        </w:rPr>
        <w:t>climactic and microbiological conditions</w:t>
      </w:r>
      <w:r w:rsidR="000B7559">
        <w:rPr>
          <w:rFonts w:cs="Times New Roman"/>
        </w:rPr>
        <w:t xml:space="preserve"> (USEPA 1995</w:t>
      </w:r>
      <w:r w:rsidR="008D7BEB">
        <w:rPr>
          <w:rFonts w:cs="Times New Roman"/>
        </w:rPr>
        <w:t>,</w:t>
      </w:r>
      <w:r w:rsidR="000B7559">
        <w:rPr>
          <w:rFonts w:cs="Times New Roman"/>
        </w:rPr>
        <w:t xml:space="preserve"> Tu et al. 2001</w:t>
      </w:r>
      <w:r w:rsidR="008D7BEB">
        <w:rPr>
          <w:rFonts w:cs="Times New Roman"/>
        </w:rPr>
        <w:t>,</w:t>
      </w:r>
      <w:r w:rsidR="000B7559">
        <w:rPr>
          <w:rFonts w:cs="Times New Roman"/>
        </w:rPr>
        <w:t xml:space="preserve"> EFSA 2009</w:t>
      </w:r>
      <w:r w:rsidR="008D7BEB">
        <w:rPr>
          <w:rFonts w:cs="Times New Roman"/>
        </w:rPr>
        <w:t>,</w:t>
      </w:r>
      <w:r w:rsidR="000B7559">
        <w:rPr>
          <w:rFonts w:cs="Times New Roman"/>
        </w:rPr>
        <w:t xml:space="preserve"> Assis et al. 2011)</w:t>
      </w:r>
      <w:r w:rsidRPr="00511319">
        <w:rPr>
          <w:rFonts w:cs="Times New Roman"/>
        </w:rPr>
        <w:t>. Th</w:t>
      </w:r>
      <w:r w:rsidR="003B7119">
        <w:rPr>
          <w:rFonts w:cs="Times New Roman"/>
        </w:rPr>
        <w:t>is</w:t>
      </w:r>
      <w:r w:rsidRPr="00511319">
        <w:rPr>
          <w:rFonts w:cs="Times New Roman"/>
        </w:rPr>
        <w:t xml:space="preserve"> </w:t>
      </w:r>
      <w:r w:rsidR="000E796F">
        <w:rPr>
          <w:rFonts w:cs="Times New Roman"/>
        </w:rPr>
        <w:t>wide</w:t>
      </w:r>
      <w:r w:rsidR="003B7119">
        <w:rPr>
          <w:rFonts w:cs="Times New Roman"/>
        </w:rPr>
        <w:t>-</w:t>
      </w:r>
      <w:r w:rsidRPr="00511319">
        <w:rPr>
          <w:rFonts w:cs="Times New Roman"/>
        </w:rPr>
        <w:t>rang</w:t>
      </w:r>
      <w:r w:rsidR="003B7119">
        <w:rPr>
          <w:rFonts w:cs="Times New Roman"/>
        </w:rPr>
        <w:t>ing</w:t>
      </w:r>
      <w:r w:rsidRPr="00511319">
        <w:rPr>
          <w:rFonts w:cs="Times New Roman"/>
        </w:rPr>
        <w:t xml:space="preserve"> half-li</w:t>
      </w:r>
      <w:r w:rsidR="003B7119">
        <w:rPr>
          <w:rFonts w:cs="Times New Roman"/>
        </w:rPr>
        <w:t>fe</w:t>
      </w:r>
      <w:r w:rsidRPr="00511319">
        <w:rPr>
          <w:rFonts w:cs="Times New Roman"/>
        </w:rPr>
        <w:t xml:space="preserve"> </w:t>
      </w:r>
      <w:r w:rsidR="003B7119">
        <w:rPr>
          <w:rFonts w:cs="Times New Roman"/>
        </w:rPr>
        <w:t>may</w:t>
      </w:r>
      <w:r w:rsidRPr="00511319">
        <w:rPr>
          <w:rFonts w:cs="Times New Roman"/>
        </w:rPr>
        <w:t xml:space="preserve"> also be due to dose-dependent degradation: the higher the application rate</w:t>
      </w:r>
      <w:r w:rsidR="007B7AAB">
        <w:rPr>
          <w:rFonts w:cs="Times New Roman"/>
        </w:rPr>
        <w:t xml:space="preserve"> of picloram</w:t>
      </w:r>
      <w:r w:rsidRPr="00511319">
        <w:rPr>
          <w:rFonts w:cs="Times New Roman"/>
        </w:rPr>
        <w:t xml:space="preserve">, the slower </w:t>
      </w:r>
      <w:r w:rsidR="007B7AAB">
        <w:rPr>
          <w:rFonts w:cs="Times New Roman"/>
        </w:rPr>
        <w:t>its</w:t>
      </w:r>
      <w:r w:rsidRPr="00511319">
        <w:rPr>
          <w:rFonts w:cs="Times New Roman"/>
        </w:rPr>
        <w:t xml:space="preserve"> degradation</w:t>
      </w:r>
      <w:r w:rsidR="000B7559">
        <w:rPr>
          <w:rFonts w:cs="Times New Roman"/>
        </w:rPr>
        <w:t xml:space="preserve"> </w:t>
      </w:r>
      <w:r w:rsidR="007B7AAB">
        <w:rPr>
          <w:rFonts w:cs="Times New Roman"/>
        </w:rPr>
        <w:t xml:space="preserve">in soil </w:t>
      </w:r>
      <w:r w:rsidR="000B7559">
        <w:rPr>
          <w:rFonts w:cs="Times New Roman"/>
        </w:rPr>
        <w:t>(EFSA 2009)</w:t>
      </w:r>
      <w:r w:rsidRPr="00511319">
        <w:rPr>
          <w:rFonts w:cs="Times New Roman"/>
        </w:rPr>
        <w:t>. Degradation in soil is primarily by microbial metabolism, but can also occur by sunlight</w:t>
      </w:r>
      <w:r w:rsidR="000B7559">
        <w:rPr>
          <w:rFonts w:cs="Times New Roman"/>
        </w:rPr>
        <w:t xml:space="preserve"> (Tu et al. 2001)</w:t>
      </w:r>
      <w:r w:rsidRPr="00511319">
        <w:rPr>
          <w:rFonts w:cs="Times New Roman"/>
        </w:rPr>
        <w:t>. Carbon dioxide is the major degradate in aerobic soils</w:t>
      </w:r>
      <w:r w:rsidR="000B7559">
        <w:rPr>
          <w:rFonts w:cs="Times New Roman"/>
        </w:rPr>
        <w:t xml:space="preserve"> (Tu et al. 2001</w:t>
      </w:r>
      <w:r w:rsidR="00A97782">
        <w:rPr>
          <w:rFonts w:cs="Times New Roman"/>
        </w:rPr>
        <w:t>,</w:t>
      </w:r>
      <w:r w:rsidR="000B7559">
        <w:rPr>
          <w:rFonts w:cs="Times New Roman"/>
        </w:rPr>
        <w:t xml:space="preserve"> EFSA 2009)</w:t>
      </w:r>
      <w:r w:rsidRPr="00511319">
        <w:rPr>
          <w:rFonts w:cs="Times New Roman"/>
        </w:rPr>
        <w:t xml:space="preserve">. Under anaerobic conditions, picloram acid is stable, with over 90% </w:t>
      </w:r>
      <w:r w:rsidR="000E796F">
        <w:rPr>
          <w:rFonts w:cs="Times New Roman"/>
        </w:rPr>
        <w:t xml:space="preserve">remaining </w:t>
      </w:r>
      <w:r w:rsidR="00C25B59">
        <w:rPr>
          <w:rFonts w:cs="Times New Roman"/>
        </w:rPr>
        <w:t xml:space="preserve">in soil and water </w:t>
      </w:r>
      <w:r w:rsidRPr="00511319">
        <w:rPr>
          <w:rFonts w:cs="Times New Roman"/>
        </w:rPr>
        <w:t>after 300</w:t>
      </w:r>
      <w:r w:rsidR="007B7AAB">
        <w:rPr>
          <w:rFonts w:cs="Times New Roman"/>
        </w:rPr>
        <w:t> </w:t>
      </w:r>
      <w:r w:rsidRPr="00511319">
        <w:rPr>
          <w:rFonts w:cs="Times New Roman"/>
        </w:rPr>
        <w:t>days</w:t>
      </w:r>
      <w:r w:rsidR="000B7559">
        <w:rPr>
          <w:rFonts w:cs="Times New Roman"/>
        </w:rPr>
        <w:t xml:space="preserve"> (USEPA 1995)</w:t>
      </w:r>
      <w:r w:rsidRPr="00511319">
        <w:rPr>
          <w:rFonts w:cs="Times New Roman"/>
        </w:rPr>
        <w:t>. Picloram can also be released from the roots of treated plants into the soil</w:t>
      </w:r>
      <w:r w:rsidR="000B7559">
        <w:rPr>
          <w:rFonts w:cs="Times New Roman"/>
        </w:rPr>
        <w:t xml:space="preserve"> (Tu et al. 2001)</w:t>
      </w:r>
      <w:r w:rsidRPr="00511319">
        <w:rPr>
          <w:rFonts w:cs="Times New Roman"/>
        </w:rPr>
        <w:t xml:space="preserve">. </w:t>
      </w:r>
    </w:p>
    <w:p w14:paraId="4E042E4D" w14:textId="77777777" w:rsidR="00511319" w:rsidRPr="00511319" w:rsidRDefault="00F039DE" w:rsidP="00511319">
      <w:pPr>
        <w:rPr>
          <w:rFonts w:cs="Times New Roman"/>
        </w:rPr>
      </w:pPr>
      <w:r w:rsidRPr="00511319">
        <w:rPr>
          <w:rFonts w:cs="Times New Roman"/>
        </w:rPr>
        <w:t>Picloram does not bind strongly to soil (K</w:t>
      </w:r>
      <w:r w:rsidR="00DF563C" w:rsidRPr="00DF563C">
        <w:rPr>
          <w:rFonts w:cs="Times New Roman"/>
          <w:vertAlign w:val="subscript"/>
        </w:rPr>
        <w:t>OC</w:t>
      </w:r>
      <w:r w:rsidRPr="00511319">
        <w:rPr>
          <w:rFonts w:cs="Times New Roman"/>
        </w:rPr>
        <w:t xml:space="preserve"> values of 0.026</w:t>
      </w:r>
      <w:r w:rsidR="002954A2">
        <w:rPr>
          <w:rFonts w:cs="Times New Roman"/>
        </w:rPr>
        <w:t>–</w:t>
      </w:r>
      <w:r w:rsidRPr="00511319">
        <w:rPr>
          <w:rFonts w:cs="Times New Roman"/>
        </w:rPr>
        <w:t>100</w:t>
      </w:r>
      <w:r w:rsidR="00A97782">
        <w:rPr>
          <w:rFonts w:cs="Times New Roman"/>
        </w:rPr>
        <w:t> </w:t>
      </w:r>
      <w:r w:rsidRPr="00511319">
        <w:rPr>
          <w:rFonts w:cs="Times New Roman"/>
        </w:rPr>
        <w:t xml:space="preserve">L/kg). This </w:t>
      </w:r>
      <w:r w:rsidR="00AD22C1">
        <w:rPr>
          <w:rFonts w:cs="Times New Roman"/>
        </w:rPr>
        <w:t>property</w:t>
      </w:r>
      <w:r w:rsidRPr="00511319">
        <w:rPr>
          <w:rFonts w:cs="Times New Roman"/>
        </w:rPr>
        <w:t xml:space="preserve"> </w:t>
      </w:r>
      <w:r w:rsidR="00DF563C">
        <w:rPr>
          <w:rFonts w:cs="Times New Roman"/>
        </w:rPr>
        <w:t>(</w:t>
      </w:r>
      <w:r w:rsidRPr="00511319">
        <w:rPr>
          <w:rFonts w:cs="Times New Roman"/>
        </w:rPr>
        <w:t>combined with its low volatility, high solubility and high persistence</w:t>
      </w:r>
      <w:r w:rsidR="00DF563C">
        <w:rPr>
          <w:rFonts w:cs="Times New Roman"/>
        </w:rPr>
        <w:t>)</w:t>
      </w:r>
      <w:r w:rsidRPr="00511319">
        <w:rPr>
          <w:rFonts w:cs="Times New Roman"/>
        </w:rPr>
        <w:t xml:space="preserve"> </w:t>
      </w:r>
      <w:r w:rsidR="00DF563C">
        <w:rPr>
          <w:rFonts w:cs="Times New Roman"/>
        </w:rPr>
        <w:t>means</w:t>
      </w:r>
      <w:r w:rsidRPr="00511319">
        <w:rPr>
          <w:rFonts w:cs="Times New Roman"/>
        </w:rPr>
        <w:t xml:space="preserve"> picloram </w:t>
      </w:r>
      <w:r w:rsidR="00DF563C">
        <w:rPr>
          <w:rFonts w:cs="Times New Roman"/>
        </w:rPr>
        <w:t>has</w:t>
      </w:r>
      <w:r w:rsidRPr="00511319">
        <w:rPr>
          <w:rFonts w:cs="Times New Roman"/>
        </w:rPr>
        <w:t xml:space="preserve"> a high potential to leach to groundwater and </w:t>
      </w:r>
      <w:r w:rsidR="000E796F">
        <w:rPr>
          <w:rFonts w:cs="Times New Roman"/>
        </w:rPr>
        <w:t xml:space="preserve">enter </w:t>
      </w:r>
      <w:r w:rsidRPr="00511319">
        <w:rPr>
          <w:rFonts w:cs="Times New Roman"/>
        </w:rPr>
        <w:t>surface water</w:t>
      </w:r>
      <w:r w:rsidR="000B7559">
        <w:rPr>
          <w:rFonts w:cs="Times New Roman"/>
        </w:rPr>
        <w:t xml:space="preserve"> (USEPA 1995</w:t>
      </w:r>
      <w:r w:rsidR="00926E18">
        <w:rPr>
          <w:rFonts w:cs="Times New Roman"/>
        </w:rPr>
        <w:t>,</w:t>
      </w:r>
      <w:r w:rsidR="000B7559">
        <w:rPr>
          <w:rFonts w:cs="Times New Roman"/>
        </w:rPr>
        <w:t xml:space="preserve"> EFSA 2009</w:t>
      </w:r>
      <w:r w:rsidR="00926E18">
        <w:rPr>
          <w:rFonts w:cs="Times New Roman"/>
        </w:rPr>
        <w:t>,</w:t>
      </w:r>
      <w:r w:rsidR="000B7559">
        <w:rPr>
          <w:rFonts w:cs="Times New Roman"/>
        </w:rPr>
        <w:t xml:space="preserve"> Tu et al. </w:t>
      </w:r>
      <w:r w:rsidR="00DF563C">
        <w:rPr>
          <w:rFonts w:cs="Times New Roman"/>
        </w:rPr>
        <w:t>2001</w:t>
      </w:r>
      <w:r w:rsidR="00926E18">
        <w:rPr>
          <w:rFonts w:cs="Times New Roman"/>
        </w:rPr>
        <w:t>,</w:t>
      </w:r>
      <w:r w:rsidR="000B7559">
        <w:rPr>
          <w:rFonts w:cs="Times New Roman"/>
        </w:rPr>
        <w:t xml:space="preserve"> APVMA 2015</w:t>
      </w:r>
      <w:r w:rsidR="00926E18">
        <w:rPr>
          <w:rFonts w:cs="Times New Roman"/>
        </w:rPr>
        <w:t>,</w:t>
      </w:r>
      <w:r w:rsidR="00926E18" w:rsidRPr="00926E18">
        <w:rPr>
          <w:rFonts w:cs="Times New Roman"/>
        </w:rPr>
        <w:t xml:space="preserve"> </w:t>
      </w:r>
      <w:r w:rsidR="00926E18">
        <w:rPr>
          <w:rFonts w:cs="Times New Roman"/>
        </w:rPr>
        <w:t>NCBI 2020</w:t>
      </w:r>
      <w:r w:rsidR="000B7559">
        <w:rPr>
          <w:rFonts w:cs="Times New Roman"/>
        </w:rPr>
        <w:t>)</w:t>
      </w:r>
      <w:r w:rsidRPr="00511319">
        <w:rPr>
          <w:rFonts w:cs="Times New Roman"/>
        </w:rPr>
        <w:t xml:space="preserve">. Once picloram has reached groundwater, it is unlikely </w:t>
      </w:r>
      <w:r w:rsidR="006854F4">
        <w:rPr>
          <w:rFonts w:cs="Times New Roman"/>
        </w:rPr>
        <w:t xml:space="preserve">to </w:t>
      </w:r>
      <w:r w:rsidRPr="00511319">
        <w:rPr>
          <w:rFonts w:cs="Times New Roman"/>
        </w:rPr>
        <w:t>degrade, even over several years</w:t>
      </w:r>
      <w:r w:rsidR="000B7559">
        <w:rPr>
          <w:rFonts w:cs="Times New Roman"/>
        </w:rPr>
        <w:t xml:space="preserve"> (USEPA 1995)</w:t>
      </w:r>
      <w:r w:rsidRPr="00511319">
        <w:rPr>
          <w:rFonts w:cs="Times New Roman"/>
        </w:rPr>
        <w:t xml:space="preserve">. Groundwater monitoring </w:t>
      </w:r>
      <w:r w:rsidR="00C25B59">
        <w:rPr>
          <w:rFonts w:cs="Times New Roman"/>
        </w:rPr>
        <w:t>data from</w:t>
      </w:r>
      <w:r w:rsidRPr="00511319">
        <w:rPr>
          <w:rFonts w:cs="Times New Roman"/>
        </w:rPr>
        <w:t xml:space="preserve"> the United States </w:t>
      </w:r>
      <w:r w:rsidR="00C25B59">
        <w:rPr>
          <w:rFonts w:cs="Times New Roman"/>
        </w:rPr>
        <w:t>indicated</w:t>
      </w:r>
      <w:r w:rsidR="00C25B59" w:rsidRPr="00511319">
        <w:rPr>
          <w:rFonts w:cs="Times New Roman"/>
        </w:rPr>
        <w:t xml:space="preserve"> </w:t>
      </w:r>
      <w:r w:rsidRPr="00511319">
        <w:rPr>
          <w:rFonts w:cs="Times New Roman"/>
        </w:rPr>
        <w:t>picloram contamination across 10 states at concentrations up to 30</w:t>
      </w:r>
      <w:r w:rsidR="00926E18">
        <w:rPr>
          <w:rFonts w:cs="Times New Roman"/>
        </w:rPr>
        <w:t> </w:t>
      </w:r>
      <w:r w:rsidRPr="00511319">
        <w:rPr>
          <w:rFonts w:cs="Times New Roman"/>
        </w:rPr>
        <w:t>µg/L</w:t>
      </w:r>
      <w:r w:rsidR="000E796F">
        <w:rPr>
          <w:rFonts w:cs="Times New Roman"/>
        </w:rPr>
        <w:t xml:space="preserve">. </w:t>
      </w:r>
      <w:r w:rsidR="00D41E8F">
        <w:rPr>
          <w:rFonts w:cs="Times New Roman"/>
        </w:rPr>
        <w:t>USEPA (1995)</w:t>
      </w:r>
      <w:r w:rsidR="000E796F">
        <w:rPr>
          <w:rFonts w:cs="Times New Roman"/>
        </w:rPr>
        <w:t xml:space="preserve"> </w:t>
      </w:r>
      <w:r w:rsidRPr="00511319">
        <w:rPr>
          <w:rFonts w:cs="Times New Roman"/>
        </w:rPr>
        <w:t>state</w:t>
      </w:r>
      <w:r w:rsidR="00C27108">
        <w:rPr>
          <w:rFonts w:cs="Times New Roman"/>
        </w:rPr>
        <w:t>d</w:t>
      </w:r>
      <w:r w:rsidRPr="00511319">
        <w:rPr>
          <w:rFonts w:cs="Times New Roman"/>
        </w:rPr>
        <w:t xml:space="preserve"> that </w:t>
      </w:r>
      <w:r w:rsidR="00226383">
        <w:rPr>
          <w:rFonts w:cs="Times New Roman"/>
        </w:rPr>
        <w:t>‘</w:t>
      </w:r>
      <w:r w:rsidRPr="006854F4">
        <w:rPr>
          <w:rStyle w:val="Emphasis"/>
        </w:rPr>
        <w:t xml:space="preserve">eventual contamination of groundwater </w:t>
      </w:r>
      <w:r w:rsidRPr="006854F4">
        <w:t>[by picloram]</w:t>
      </w:r>
      <w:r w:rsidRPr="006854F4">
        <w:rPr>
          <w:rStyle w:val="Emphasis"/>
        </w:rPr>
        <w:t xml:space="preserve"> is virtually certain in areas where residues persist in the overlying soil</w:t>
      </w:r>
      <w:r w:rsidR="00226383" w:rsidRPr="006854F4">
        <w:rPr>
          <w:rFonts w:cs="Times New Roman"/>
        </w:rPr>
        <w:t>’</w:t>
      </w:r>
      <w:r w:rsidRPr="00511319">
        <w:rPr>
          <w:rFonts w:cs="Times New Roman"/>
        </w:rPr>
        <w:t>. In a study in Texas, picloram was detected at a concentration of 184</w:t>
      </w:r>
      <w:r w:rsidR="000E3117">
        <w:rPr>
          <w:rFonts w:cs="Times New Roman"/>
        </w:rPr>
        <w:t> </w:t>
      </w:r>
      <w:r w:rsidR="00C27108">
        <w:rPr>
          <w:rFonts w:ascii="Calibri" w:hAnsi="Calibri" w:cs="Calibri"/>
        </w:rPr>
        <w:t>µ</w:t>
      </w:r>
      <w:r w:rsidRPr="00511319">
        <w:rPr>
          <w:rFonts w:cs="Times New Roman"/>
        </w:rPr>
        <w:t>g/L in a pond down</w:t>
      </w:r>
      <w:r w:rsidR="006854F4">
        <w:rPr>
          <w:rFonts w:cs="Times New Roman"/>
        </w:rPr>
        <w:t>-</w:t>
      </w:r>
      <w:r w:rsidRPr="00511319">
        <w:rPr>
          <w:rFonts w:cs="Times New Roman"/>
        </w:rPr>
        <w:t xml:space="preserve">gradient of treated pastures </w:t>
      </w:r>
      <w:r w:rsidR="006854F4">
        <w:rPr>
          <w:rFonts w:cs="Times New Roman"/>
        </w:rPr>
        <w:t>2 </w:t>
      </w:r>
      <w:r w:rsidRPr="00511319">
        <w:rPr>
          <w:rFonts w:cs="Times New Roman"/>
        </w:rPr>
        <w:t xml:space="preserve">weeks after soil application </w:t>
      </w:r>
      <w:r w:rsidR="000B7559">
        <w:rPr>
          <w:rFonts w:cs="Times New Roman"/>
        </w:rPr>
        <w:t>(Haas et al. 1971)</w:t>
      </w:r>
      <w:r w:rsidRPr="00511319">
        <w:rPr>
          <w:rFonts w:cs="Times New Roman"/>
        </w:rPr>
        <w:t xml:space="preserve">. Surface water concentrations were detected </w:t>
      </w:r>
      <w:r w:rsidR="00CC2BA7">
        <w:rPr>
          <w:rFonts w:cs="Times New Roman"/>
        </w:rPr>
        <w:t>6 </w:t>
      </w:r>
      <w:r w:rsidRPr="00511319">
        <w:rPr>
          <w:rFonts w:cs="Times New Roman"/>
        </w:rPr>
        <w:t>months after treatment, and concentrations were negatively correlated with the interval between soil treatment and first rainfall</w:t>
      </w:r>
      <w:r w:rsidR="008129B0">
        <w:rPr>
          <w:rFonts w:cs="Times New Roman"/>
        </w:rPr>
        <w:t xml:space="preserve"> (Haas et al. 1971)</w:t>
      </w:r>
      <w:r w:rsidRPr="00511319">
        <w:rPr>
          <w:rFonts w:cs="Times New Roman"/>
        </w:rPr>
        <w:t>. In Australia, picloram has been detected in surface water at a concentration of 25</w:t>
      </w:r>
      <w:r w:rsidR="00892673">
        <w:rPr>
          <w:rFonts w:cs="Times New Roman"/>
        </w:rPr>
        <w:t> </w:t>
      </w:r>
      <w:r w:rsidRPr="00511319">
        <w:rPr>
          <w:rFonts w:cs="Times New Roman"/>
        </w:rPr>
        <w:t>µg/L, 20</w:t>
      </w:r>
      <w:r w:rsidR="00CC2BA7">
        <w:rPr>
          <w:rFonts w:cs="Times New Roman"/>
        </w:rPr>
        <w:t> </w:t>
      </w:r>
      <w:r w:rsidRPr="00511319">
        <w:rPr>
          <w:rFonts w:cs="Times New Roman"/>
        </w:rPr>
        <w:t>minutes after spraying blackberries on adjacent land, although the detected concentrations did not persist</w:t>
      </w:r>
      <w:r w:rsidR="008129B0">
        <w:rPr>
          <w:rFonts w:cs="Times New Roman"/>
        </w:rPr>
        <w:t xml:space="preserve"> </w:t>
      </w:r>
      <w:r w:rsidR="00D41E8F">
        <w:rPr>
          <w:rFonts w:cs="Times New Roman"/>
        </w:rPr>
        <w:t xml:space="preserve">beyond </w:t>
      </w:r>
      <w:r w:rsidR="00785BCE">
        <w:rPr>
          <w:rFonts w:cs="Times New Roman"/>
        </w:rPr>
        <w:t>1 </w:t>
      </w:r>
      <w:r w:rsidR="00D41E8F">
        <w:rPr>
          <w:rFonts w:cs="Times New Roman"/>
        </w:rPr>
        <w:t xml:space="preserve">hour of spraying </w:t>
      </w:r>
      <w:r w:rsidR="008129B0">
        <w:rPr>
          <w:rFonts w:cs="Times New Roman"/>
        </w:rPr>
        <w:t>(Moore</w:t>
      </w:r>
      <w:r w:rsidR="008374EB">
        <w:rPr>
          <w:rFonts w:cs="Times New Roman"/>
        </w:rPr>
        <w:t xml:space="preserve"> et al.</w:t>
      </w:r>
      <w:r w:rsidR="008129B0">
        <w:rPr>
          <w:rFonts w:cs="Times New Roman"/>
        </w:rPr>
        <w:t xml:space="preserve"> 2010)</w:t>
      </w:r>
      <w:r w:rsidRPr="00511319">
        <w:rPr>
          <w:rFonts w:cs="Times New Roman"/>
        </w:rPr>
        <w:t>.</w:t>
      </w:r>
    </w:p>
    <w:p w14:paraId="4E042E4E" w14:textId="77777777" w:rsidR="00511319" w:rsidRPr="00511319" w:rsidRDefault="00F039DE" w:rsidP="00511319">
      <w:pPr>
        <w:rPr>
          <w:rFonts w:cs="Times New Roman"/>
        </w:rPr>
      </w:pPr>
      <w:r w:rsidRPr="00511319">
        <w:rPr>
          <w:rFonts w:cs="Times New Roman"/>
        </w:rPr>
        <w:t xml:space="preserve">In water, picloram is stable at pH 5, 7 and 9, with the hydrolytical half-life estimated to be greater than </w:t>
      </w:r>
      <w:r w:rsidR="008374EB">
        <w:rPr>
          <w:rFonts w:cs="Times New Roman"/>
        </w:rPr>
        <w:t>1 </w:t>
      </w:r>
      <w:r w:rsidRPr="00511319">
        <w:rPr>
          <w:rFonts w:cs="Times New Roman"/>
        </w:rPr>
        <w:t>year</w:t>
      </w:r>
      <w:r w:rsidR="008129B0">
        <w:rPr>
          <w:rFonts w:cs="Times New Roman"/>
        </w:rPr>
        <w:t xml:space="preserve"> (EFSA 2009)</w:t>
      </w:r>
      <w:r w:rsidRPr="00511319">
        <w:rPr>
          <w:rFonts w:cs="Times New Roman"/>
        </w:rPr>
        <w:t>. Picloram is susceptible to direct photolysis in clear, shallow water</w:t>
      </w:r>
      <w:r w:rsidR="008374EB">
        <w:rPr>
          <w:rFonts w:cs="Times New Roman"/>
        </w:rPr>
        <w:t>,</w:t>
      </w:r>
      <w:r w:rsidRPr="00511319">
        <w:rPr>
          <w:rFonts w:cs="Times New Roman"/>
        </w:rPr>
        <w:t xml:space="preserve"> </w:t>
      </w:r>
      <w:r w:rsidR="000E796F">
        <w:rPr>
          <w:rFonts w:cs="Times New Roman"/>
        </w:rPr>
        <w:t xml:space="preserve">with a </w:t>
      </w:r>
      <w:r w:rsidRPr="00511319">
        <w:rPr>
          <w:rFonts w:cs="Times New Roman"/>
        </w:rPr>
        <w:t xml:space="preserve">photolytic half-life in </w:t>
      </w:r>
      <w:r w:rsidR="00F668F1">
        <w:rPr>
          <w:rFonts w:cs="Times New Roman"/>
        </w:rPr>
        <w:t>fresh</w:t>
      </w:r>
      <w:r w:rsidRPr="00511319">
        <w:rPr>
          <w:rFonts w:cs="Times New Roman"/>
        </w:rPr>
        <w:t>water estimated to be 2</w:t>
      </w:r>
      <w:r w:rsidR="00190062">
        <w:rPr>
          <w:rFonts w:cs="Times New Roman"/>
        </w:rPr>
        <w:t> </w:t>
      </w:r>
      <w:r w:rsidRPr="00511319">
        <w:rPr>
          <w:rFonts w:cs="Times New Roman"/>
        </w:rPr>
        <w:t>days</w:t>
      </w:r>
      <w:r w:rsidR="008129B0">
        <w:rPr>
          <w:rFonts w:cs="Times New Roman"/>
        </w:rPr>
        <w:t xml:space="preserve"> (Hall et al. </w:t>
      </w:r>
      <w:r w:rsidR="00F668F1">
        <w:rPr>
          <w:rFonts w:cs="Times New Roman"/>
        </w:rPr>
        <w:t>1968</w:t>
      </w:r>
      <w:r w:rsidR="001B6A83">
        <w:rPr>
          <w:rFonts w:cs="Times New Roman"/>
        </w:rPr>
        <w:t>,</w:t>
      </w:r>
      <w:r w:rsidR="008129B0">
        <w:rPr>
          <w:rFonts w:cs="Times New Roman"/>
        </w:rPr>
        <w:t xml:space="preserve"> EFSA 2009)</w:t>
      </w:r>
      <w:r w:rsidRPr="00511319">
        <w:rPr>
          <w:rFonts w:cs="Times New Roman"/>
        </w:rPr>
        <w:t>, resulting in the degradates carbon dioxide (CO</w:t>
      </w:r>
      <w:r w:rsidRPr="00190062">
        <w:rPr>
          <w:rFonts w:cs="Times New Roman"/>
          <w:vertAlign w:val="subscript"/>
        </w:rPr>
        <w:t>2</w:t>
      </w:r>
      <w:r w:rsidRPr="00511319">
        <w:rPr>
          <w:rFonts w:cs="Times New Roman"/>
        </w:rPr>
        <w:t>), oxamic acid</w:t>
      </w:r>
      <w:r w:rsidR="00190062">
        <w:rPr>
          <w:rFonts w:cs="Times New Roman"/>
        </w:rPr>
        <w:t>,</w:t>
      </w:r>
      <w:r w:rsidRPr="00511319">
        <w:rPr>
          <w:rFonts w:cs="Times New Roman"/>
        </w:rPr>
        <w:t xml:space="preserve"> and 3-oxo-β-alanine</w:t>
      </w:r>
      <w:r w:rsidR="008129B0">
        <w:rPr>
          <w:rFonts w:cs="Times New Roman"/>
        </w:rPr>
        <w:t xml:space="preserve"> (EFSA 2009)</w:t>
      </w:r>
      <w:r w:rsidR="000E796F">
        <w:rPr>
          <w:rFonts w:cs="Times New Roman"/>
        </w:rPr>
        <w:t>.</w:t>
      </w:r>
      <w:r w:rsidRPr="00511319">
        <w:rPr>
          <w:rFonts w:cs="Times New Roman"/>
        </w:rPr>
        <w:t xml:space="preserve"> </w:t>
      </w:r>
      <w:r w:rsidR="000E796F">
        <w:rPr>
          <w:rFonts w:cs="Times New Roman"/>
        </w:rPr>
        <w:t>H</w:t>
      </w:r>
      <w:r w:rsidRPr="00511319">
        <w:rPr>
          <w:rFonts w:cs="Times New Roman"/>
        </w:rPr>
        <w:t xml:space="preserve">owever, picloram may persist in </w:t>
      </w:r>
      <w:r w:rsidR="00B44322">
        <w:rPr>
          <w:rFonts w:cs="Times New Roman"/>
        </w:rPr>
        <w:t xml:space="preserve">turbid </w:t>
      </w:r>
      <w:r w:rsidRPr="00511319">
        <w:rPr>
          <w:rFonts w:cs="Times New Roman"/>
        </w:rPr>
        <w:t>water and in sediment</w:t>
      </w:r>
      <w:r w:rsidR="008129B0">
        <w:rPr>
          <w:rFonts w:cs="Times New Roman"/>
        </w:rPr>
        <w:t xml:space="preserve"> (USEPA 1995</w:t>
      </w:r>
      <w:r w:rsidR="00CA2F0C">
        <w:rPr>
          <w:rFonts w:cs="Times New Roman"/>
        </w:rPr>
        <w:t>,</w:t>
      </w:r>
      <w:r w:rsidR="008129B0">
        <w:rPr>
          <w:rFonts w:cs="Times New Roman"/>
        </w:rPr>
        <w:t xml:space="preserve"> EFSA 2009)</w:t>
      </w:r>
      <w:r w:rsidRPr="00511319">
        <w:rPr>
          <w:rFonts w:cs="Times New Roman"/>
        </w:rPr>
        <w:t xml:space="preserve">. Biological degradation </w:t>
      </w:r>
      <w:r w:rsidR="00F965FB">
        <w:rPr>
          <w:rFonts w:cs="Times New Roman"/>
        </w:rPr>
        <w:t xml:space="preserve">in </w:t>
      </w:r>
      <w:r w:rsidR="00483D8A">
        <w:rPr>
          <w:rFonts w:cs="Times New Roman"/>
        </w:rPr>
        <w:t>surface</w:t>
      </w:r>
      <w:r w:rsidR="00F965FB">
        <w:rPr>
          <w:rFonts w:cs="Times New Roman"/>
        </w:rPr>
        <w:t xml:space="preserve"> water </w:t>
      </w:r>
      <w:r w:rsidRPr="00511319">
        <w:rPr>
          <w:rFonts w:cs="Times New Roman"/>
        </w:rPr>
        <w:t xml:space="preserve">is </w:t>
      </w:r>
      <w:r w:rsidR="00F965FB">
        <w:rPr>
          <w:rFonts w:cs="Times New Roman"/>
        </w:rPr>
        <w:t xml:space="preserve">likely to be </w:t>
      </w:r>
      <w:r w:rsidRPr="00511319">
        <w:rPr>
          <w:rFonts w:cs="Times New Roman"/>
        </w:rPr>
        <w:t xml:space="preserve">slow under </w:t>
      </w:r>
      <w:r w:rsidR="00F965FB">
        <w:rPr>
          <w:rFonts w:cs="Times New Roman"/>
        </w:rPr>
        <w:t xml:space="preserve">both </w:t>
      </w:r>
      <w:r w:rsidRPr="00511319">
        <w:rPr>
          <w:rFonts w:cs="Times New Roman"/>
        </w:rPr>
        <w:t>aerobic and anaerobic conditions</w:t>
      </w:r>
      <w:r w:rsidR="008129B0">
        <w:rPr>
          <w:rFonts w:cs="Times New Roman"/>
        </w:rPr>
        <w:t xml:space="preserve"> (USEPA 1995)</w:t>
      </w:r>
      <w:r w:rsidRPr="00511319">
        <w:rPr>
          <w:rFonts w:cs="Times New Roman"/>
        </w:rPr>
        <w:t>.</w:t>
      </w:r>
    </w:p>
    <w:p w14:paraId="4E042E4F" w14:textId="77777777" w:rsidR="00511319" w:rsidRPr="00511319" w:rsidRDefault="00F039DE" w:rsidP="00511319">
      <w:pPr>
        <w:rPr>
          <w:rFonts w:cs="Times New Roman"/>
        </w:rPr>
      </w:pPr>
      <w:r w:rsidRPr="00511319">
        <w:rPr>
          <w:rFonts w:cs="Times New Roman"/>
        </w:rPr>
        <w:lastRenderedPageBreak/>
        <w:t>Picloram has a low potential to bioconcentrate, with reported log K</w:t>
      </w:r>
      <w:r w:rsidR="008576C0" w:rsidRPr="00844202">
        <w:rPr>
          <w:rFonts w:cs="Times New Roman"/>
          <w:vertAlign w:val="subscript"/>
        </w:rPr>
        <w:t>OW</w:t>
      </w:r>
      <w:r w:rsidRPr="00511319">
        <w:rPr>
          <w:rFonts w:cs="Times New Roman"/>
        </w:rPr>
        <w:t xml:space="preserve"> values ranging from -2.21 at pH</w:t>
      </w:r>
      <w:r w:rsidR="0024553A">
        <w:rPr>
          <w:rFonts w:cs="Times New Roman"/>
        </w:rPr>
        <w:t> </w:t>
      </w:r>
      <w:r w:rsidRPr="00511319">
        <w:rPr>
          <w:rFonts w:cs="Times New Roman"/>
        </w:rPr>
        <w:t>9 to 0.63 at pH 3</w:t>
      </w:r>
      <w:r w:rsidR="00C03488">
        <w:rPr>
          <w:rFonts w:cs="Times New Roman"/>
        </w:rPr>
        <w:t xml:space="preserve"> (USEPA 1995</w:t>
      </w:r>
      <w:r w:rsidR="00CA2F0C">
        <w:rPr>
          <w:rFonts w:cs="Times New Roman"/>
        </w:rPr>
        <w:t>,</w:t>
      </w:r>
      <w:r w:rsidR="00C03488">
        <w:rPr>
          <w:rFonts w:cs="Times New Roman"/>
        </w:rPr>
        <w:t xml:space="preserve"> EFSA 2009</w:t>
      </w:r>
      <w:r w:rsidR="00CA2F0C">
        <w:rPr>
          <w:rFonts w:cs="Times New Roman"/>
        </w:rPr>
        <w:t>,</w:t>
      </w:r>
      <w:r w:rsidR="00C03488">
        <w:rPr>
          <w:rFonts w:cs="Times New Roman"/>
        </w:rPr>
        <w:t xml:space="preserve"> FAO 2012</w:t>
      </w:r>
      <w:r w:rsidR="00CA2F0C">
        <w:rPr>
          <w:rFonts w:cs="Times New Roman"/>
        </w:rPr>
        <w:t>,</w:t>
      </w:r>
      <w:r w:rsidR="00CA2F0C" w:rsidRPr="00CA2F0C">
        <w:rPr>
          <w:rFonts w:cs="Times New Roman"/>
        </w:rPr>
        <w:t xml:space="preserve"> </w:t>
      </w:r>
      <w:r w:rsidR="00CA2F0C">
        <w:rPr>
          <w:rFonts w:cs="Times New Roman"/>
        </w:rPr>
        <w:t>NCBI 2020</w:t>
      </w:r>
      <w:r w:rsidR="00C03488">
        <w:rPr>
          <w:rFonts w:cs="Times New Roman"/>
        </w:rPr>
        <w:t>).</w:t>
      </w:r>
      <w:r w:rsidRPr="00511319">
        <w:rPr>
          <w:rFonts w:cs="Times New Roman"/>
        </w:rPr>
        <w:t xml:space="preserve"> </w:t>
      </w:r>
      <w:r w:rsidR="000E796F">
        <w:rPr>
          <w:rFonts w:cs="Times New Roman"/>
        </w:rPr>
        <w:t>B</w:t>
      </w:r>
      <w:r w:rsidRPr="00511319">
        <w:rPr>
          <w:rFonts w:cs="Times New Roman"/>
        </w:rPr>
        <w:t>ioconcentration factors of 0.11</w:t>
      </w:r>
      <w:r w:rsidR="0024553A">
        <w:rPr>
          <w:rFonts w:cs="Times New Roman"/>
        </w:rPr>
        <w:t>–</w:t>
      </w:r>
      <w:r w:rsidRPr="00511319">
        <w:rPr>
          <w:rFonts w:cs="Times New Roman"/>
        </w:rPr>
        <w:t>31 in fish have been reported</w:t>
      </w:r>
      <w:r w:rsidR="00C03488">
        <w:rPr>
          <w:rFonts w:cs="Times New Roman"/>
        </w:rPr>
        <w:t xml:space="preserve"> (USEPA 1995</w:t>
      </w:r>
      <w:r w:rsidR="00CA2F0C">
        <w:rPr>
          <w:rFonts w:cs="Times New Roman"/>
        </w:rPr>
        <w:t>,</w:t>
      </w:r>
      <w:r w:rsidR="00C03488">
        <w:rPr>
          <w:rFonts w:cs="Times New Roman"/>
        </w:rPr>
        <w:t xml:space="preserve"> </w:t>
      </w:r>
      <w:r w:rsidR="00B621A2">
        <w:rPr>
          <w:rFonts w:cs="Times New Roman"/>
        </w:rPr>
        <w:t>NCBI 2020</w:t>
      </w:r>
      <w:r w:rsidR="00C03488">
        <w:rPr>
          <w:rFonts w:cs="Times New Roman"/>
        </w:rPr>
        <w:t>)</w:t>
      </w:r>
      <w:r w:rsidRPr="00511319">
        <w:rPr>
          <w:rFonts w:cs="Times New Roman"/>
        </w:rPr>
        <w:t xml:space="preserve">, </w:t>
      </w:r>
      <w:r w:rsidR="0024553A">
        <w:rPr>
          <w:rFonts w:cs="Times New Roman"/>
        </w:rPr>
        <w:t xml:space="preserve">which are </w:t>
      </w:r>
      <w:r w:rsidRPr="00511319">
        <w:rPr>
          <w:rFonts w:cs="Times New Roman"/>
        </w:rPr>
        <w:t>consistent with the low K</w:t>
      </w:r>
      <w:r w:rsidR="008576C0" w:rsidRPr="00844202">
        <w:rPr>
          <w:rFonts w:cs="Times New Roman"/>
          <w:vertAlign w:val="subscript"/>
        </w:rPr>
        <w:t>OW</w:t>
      </w:r>
      <w:r w:rsidRPr="00511319">
        <w:rPr>
          <w:rFonts w:cs="Times New Roman"/>
        </w:rPr>
        <w:t xml:space="preserve"> values.</w:t>
      </w:r>
      <w:r w:rsidR="009723F6">
        <w:rPr>
          <w:rFonts w:cs="Times New Roman"/>
        </w:rPr>
        <w:t xml:space="preserve"> Therefore, bioaccumulation and secondary poisoning are unlikely to be a concern for picloram (USEPA 1995).</w:t>
      </w:r>
    </w:p>
    <w:p w14:paraId="4E042E50" w14:textId="77777777" w:rsidR="00BF0280" w:rsidRDefault="00F039DE" w:rsidP="00BF0280">
      <w:pPr>
        <w:pStyle w:val="Heading2"/>
      </w:pPr>
      <w:bookmarkStart w:id="5" w:name="_Toc80543128"/>
      <w:r>
        <w:t>Aquatic toxicology</w:t>
      </w:r>
      <w:bookmarkEnd w:id="5"/>
    </w:p>
    <w:p w14:paraId="4E042E51" w14:textId="77777777" w:rsidR="005C7622" w:rsidRDefault="00F039DE" w:rsidP="005C7622">
      <w:pPr>
        <w:pStyle w:val="Heading3"/>
      </w:pPr>
      <w:bookmarkStart w:id="6" w:name="_Toc80543129"/>
      <w:r>
        <w:t>Mechanism of toxicity</w:t>
      </w:r>
      <w:bookmarkEnd w:id="6"/>
    </w:p>
    <w:p w14:paraId="4E042E52" w14:textId="77777777" w:rsidR="005C7622" w:rsidRPr="00511319" w:rsidRDefault="00F039DE" w:rsidP="005C7622">
      <w:pPr>
        <w:rPr>
          <w:rFonts w:cs="Times New Roman"/>
        </w:rPr>
      </w:pPr>
      <w:r w:rsidRPr="00511319">
        <w:rPr>
          <w:rFonts w:cs="Times New Roman"/>
        </w:rPr>
        <w:t>Picloram is a systemic herbicide that is absorbed through the foliage and roots of susceptible plants</w:t>
      </w:r>
      <w:r>
        <w:rPr>
          <w:rFonts w:cs="Times New Roman"/>
        </w:rPr>
        <w:t xml:space="preserve"> </w:t>
      </w:r>
      <w:r w:rsidR="00F965FB">
        <w:rPr>
          <w:rFonts w:cs="Times New Roman"/>
        </w:rPr>
        <w:t xml:space="preserve">(i.e. cotyledons) </w:t>
      </w:r>
      <w:r>
        <w:rPr>
          <w:rFonts w:cs="Times New Roman"/>
        </w:rPr>
        <w:t>and</w:t>
      </w:r>
      <w:r w:rsidRPr="00511319">
        <w:rPr>
          <w:rFonts w:cs="Times New Roman"/>
        </w:rPr>
        <w:t xml:space="preserve"> accumulat</w:t>
      </w:r>
      <w:r>
        <w:rPr>
          <w:rFonts w:cs="Times New Roman"/>
        </w:rPr>
        <w:t>es</w:t>
      </w:r>
      <w:r w:rsidRPr="00511319">
        <w:rPr>
          <w:rFonts w:cs="Times New Roman"/>
        </w:rPr>
        <w:t xml:space="preserve"> in meristematic tissues (growth zones)</w:t>
      </w:r>
      <w:r>
        <w:rPr>
          <w:rFonts w:cs="Times New Roman"/>
        </w:rPr>
        <w:t xml:space="preserve"> (APVMA 2015)</w:t>
      </w:r>
      <w:r w:rsidRPr="00511319">
        <w:rPr>
          <w:rFonts w:cs="Times New Roman"/>
        </w:rPr>
        <w:t xml:space="preserve">. It has an ‘auxinic’ or synthetic growth hormone </w:t>
      </w:r>
      <w:r w:rsidRPr="00E07FF9">
        <w:rPr>
          <w:rFonts w:cs="Times New Roman"/>
        </w:rPr>
        <w:t xml:space="preserve">mode of action, mimicking the plant growth hormone indole acetic acid (Tu et al. 2001). When picloram is administered at </w:t>
      </w:r>
      <w:r w:rsidR="00E44E37">
        <w:rPr>
          <w:rFonts w:cs="Times New Roman"/>
        </w:rPr>
        <w:t>a sufficiently high</w:t>
      </w:r>
      <w:r w:rsidRPr="00E07FF9">
        <w:rPr>
          <w:rFonts w:cs="Times New Roman"/>
        </w:rPr>
        <w:t xml:space="preserve"> dose, it causes uncontrolled and disorganised growth in the susceptible plants, leading to plant death (Tu et al. 2001). Picloram is dicotyledon</w:t>
      </w:r>
      <w:r w:rsidR="009A0844">
        <w:rPr>
          <w:rFonts w:cs="Times New Roman"/>
        </w:rPr>
        <w:t>-</w:t>
      </w:r>
      <w:r w:rsidRPr="00E07FF9">
        <w:rPr>
          <w:rFonts w:cs="Times New Roman"/>
        </w:rPr>
        <w:t xml:space="preserve">selective, and </w:t>
      </w:r>
      <w:r w:rsidR="007757AC">
        <w:rPr>
          <w:rFonts w:cs="Times New Roman"/>
        </w:rPr>
        <w:t xml:space="preserve">it </w:t>
      </w:r>
      <w:r w:rsidRPr="00E07FF9">
        <w:rPr>
          <w:rFonts w:cs="Times New Roman"/>
        </w:rPr>
        <w:t>has low or no activity towards grasses and other terrestrial monocotyledons</w:t>
      </w:r>
      <w:r>
        <w:rPr>
          <w:rFonts w:cs="Times New Roman"/>
        </w:rPr>
        <w:t xml:space="preserve"> (Cox 1998</w:t>
      </w:r>
      <w:r w:rsidR="002B7D15">
        <w:rPr>
          <w:rFonts w:cs="Times New Roman"/>
        </w:rPr>
        <w:t>,</w:t>
      </w:r>
      <w:r>
        <w:rPr>
          <w:rFonts w:cs="Times New Roman"/>
        </w:rPr>
        <w:t xml:space="preserve"> Tu et al. 2001</w:t>
      </w:r>
      <w:r w:rsidR="002B7D15">
        <w:rPr>
          <w:rFonts w:cs="Times New Roman"/>
        </w:rPr>
        <w:t>,</w:t>
      </w:r>
      <w:r>
        <w:rPr>
          <w:rFonts w:cs="Times New Roman"/>
        </w:rPr>
        <w:t xml:space="preserve"> FWPRDC 2006)</w:t>
      </w:r>
      <w:r w:rsidRPr="00511319">
        <w:rPr>
          <w:rFonts w:cs="Times New Roman"/>
        </w:rPr>
        <w:t>.</w:t>
      </w:r>
    </w:p>
    <w:p w14:paraId="4E042E53" w14:textId="77777777" w:rsidR="005C7622" w:rsidRPr="005C7622" w:rsidRDefault="00F039DE" w:rsidP="00844202">
      <w:pPr>
        <w:pStyle w:val="Heading3"/>
      </w:pPr>
      <w:bookmarkStart w:id="7" w:name="_Toc80543130"/>
      <w:r>
        <w:t>Toxicity</w:t>
      </w:r>
      <w:bookmarkEnd w:id="7"/>
    </w:p>
    <w:p w14:paraId="4E042E54" w14:textId="77777777" w:rsidR="00031899" w:rsidRDefault="00F039DE" w:rsidP="00542F9A">
      <w:r w:rsidRPr="003A5CDD">
        <w:t>A literature review</w:t>
      </w:r>
      <w:r w:rsidR="000108D6">
        <w:t xml:space="preserve"> (and associated data quality assessment)</w:t>
      </w:r>
      <w:r w:rsidRPr="003A5CDD">
        <w:t xml:space="preserve"> of the effects of </w:t>
      </w:r>
      <w:r w:rsidR="009966B1" w:rsidRPr="003A5CDD">
        <w:t>picloram</w:t>
      </w:r>
      <w:r w:rsidRPr="003A5CDD">
        <w:t xml:space="preserve"> on freshwater organisms</w:t>
      </w:r>
      <w:r w:rsidR="003A5CDD">
        <w:t xml:space="preserve"> </w:t>
      </w:r>
      <w:r w:rsidR="000108D6">
        <w:t xml:space="preserve">identified </w:t>
      </w:r>
      <w:r>
        <w:t>55 toxicity values for 15 species</w:t>
      </w:r>
      <w:r w:rsidR="000108D6">
        <w:t xml:space="preserve"> consisting of </w:t>
      </w:r>
      <w:r w:rsidR="00617F94">
        <w:t>29</w:t>
      </w:r>
      <w:r w:rsidR="00617F94" w:rsidRPr="000108D6">
        <w:t xml:space="preserve"> </w:t>
      </w:r>
      <w:r w:rsidRPr="000108D6">
        <w:t xml:space="preserve">acute values for 12 species from three taxonomic groups (crustacean, insect and fish) and </w:t>
      </w:r>
      <w:r w:rsidR="00617F94" w:rsidRPr="000108D6">
        <w:t>2</w:t>
      </w:r>
      <w:r w:rsidR="00617F94">
        <w:t>6</w:t>
      </w:r>
      <w:r w:rsidR="00617F94" w:rsidRPr="000108D6">
        <w:t xml:space="preserve"> </w:t>
      </w:r>
      <w:r w:rsidRPr="000108D6">
        <w:t>chronic values for 5 species from four taxonomic groups (microalga, crustacean, macrophyte and fish).</w:t>
      </w:r>
    </w:p>
    <w:p w14:paraId="4E042E55" w14:textId="77777777" w:rsidR="002955BA" w:rsidRDefault="00F039DE" w:rsidP="000108D6">
      <w:r>
        <w:t xml:space="preserve">Some toxicity studies assessed formulations containing picloram as the active ingredient. These formulations include a carrier solvent and, in some cases, other proprietary ingredients for which the combined toxicity </w:t>
      </w:r>
      <w:r w:rsidR="00AF1770">
        <w:t>is</w:t>
      </w:r>
      <w:r>
        <w:t xml:space="preserve"> not well understood</w:t>
      </w:r>
      <w:r w:rsidR="00CA2D2F">
        <w:t>.</w:t>
      </w:r>
      <w:r w:rsidR="009766CE">
        <w:t xml:space="preserve"> </w:t>
      </w:r>
      <w:r w:rsidR="009766CE" w:rsidRPr="009766CE">
        <w:t>Studies using formulations are typically not used</w:t>
      </w:r>
      <w:r w:rsidR="009766CE">
        <w:t xml:space="preserve"> to </w:t>
      </w:r>
      <w:r w:rsidR="009766CE" w:rsidRPr="009766CE">
        <w:t>deriv</w:t>
      </w:r>
      <w:r w:rsidR="009766CE">
        <w:t>e</w:t>
      </w:r>
      <w:r w:rsidR="009766CE" w:rsidRPr="009766CE">
        <w:t xml:space="preserve"> guideline values.</w:t>
      </w:r>
    </w:p>
    <w:p w14:paraId="4E042E56" w14:textId="77777777" w:rsidR="000108D6" w:rsidRPr="000108D6" w:rsidRDefault="00F039DE" w:rsidP="00542F9A">
      <w:r>
        <w:t xml:space="preserve">Chronic studies for picloram </w:t>
      </w:r>
      <w:r w:rsidR="0021651F">
        <w:t xml:space="preserve">have typically reported effects on </w:t>
      </w:r>
      <w:r w:rsidR="00F2334C">
        <w:t xml:space="preserve">growth, reproduction and mortality endpoints. </w:t>
      </w:r>
      <w:r w:rsidR="005B0885">
        <w:t xml:space="preserve">Based on the limited available data, fish appear to be </w:t>
      </w:r>
      <w:r>
        <w:t xml:space="preserve">the most sensitive </w:t>
      </w:r>
      <w:r w:rsidR="0021651F">
        <w:t xml:space="preserve">taxonomic group, </w:t>
      </w:r>
      <w:r w:rsidR="00127A6E">
        <w:t>with</w:t>
      </w:r>
      <w:r>
        <w:t xml:space="preserve"> </w:t>
      </w:r>
      <w:r w:rsidR="00F2334C">
        <w:t xml:space="preserve">a </w:t>
      </w:r>
      <w:r>
        <w:t xml:space="preserve">chronic NOEC </w:t>
      </w:r>
      <w:r w:rsidR="00127A6E">
        <w:t>of</w:t>
      </w:r>
      <w:r>
        <w:t xml:space="preserve"> </w:t>
      </w:r>
      <w:r w:rsidR="00C575BA">
        <w:t>550</w:t>
      </w:r>
      <w:r w:rsidR="001041AD">
        <w:t> </w:t>
      </w:r>
      <w:r w:rsidR="00C575BA">
        <w:t>µg/L</w:t>
      </w:r>
      <w:r w:rsidR="003E6CA5">
        <w:t xml:space="preserve"> </w:t>
      </w:r>
      <w:r w:rsidR="0021651F">
        <w:t xml:space="preserve">for </w:t>
      </w:r>
      <w:r w:rsidR="00662EA0">
        <w:t xml:space="preserve">rainbow trout </w:t>
      </w:r>
      <w:r w:rsidR="003E6CA5">
        <w:t>(</w:t>
      </w:r>
      <w:r w:rsidR="003E6CA5" w:rsidRPr="001041AD">
        <w:rPr>
          <w:rStyle w:val="Emphasis"/>
        </w:rPr>
        <w:t>Oncorhynchus mykiss</w:t>
      </w:r>
      <w:r w:rsidR="0021651F">
        <w:t xml:space="preserve">, </w:t>
      </w:r>
      <w:r w:rsidR="003E6CA5">
        <w:t>60</w:t>
      </w:r>
      <w:r>
        <w:t> </w:t>
      </w:r>
      <w:r w:rsidR="003E6CA5">
        <w:t>day growth</w:t>
      </w:r>
      <w:r w:rsidR="0021651F">
        <w:t xml:space="preserve"> </w:t>
      </w:r>
      <w:r w:rsidR="00EE6222">
        <w:t>(</w:t>
      </w:r>
      <w:r w:rsidR="003E6CA5">
        <w:t>Mayes et al.</w:t>
      </w:r>
      <w:r w:rsidR="00EE6222">
        <w:t xml:space="preserve"> </w:t>
      </w:r>
      <w:r w:rsidR="003E6CA5">
        <w:t>1987</w:t>
      </w:r>
      <w:r w:rsidR="00EE6222">
        <w:t>)</w:t>
      </w:r>
      <w:r w:rsidR="003E6CA5">
        <w:t>)</w:t>
      </w:r>
      <w:r w:rsidR="00127A6E">
        <w:t xml:space="preserve">. </w:t>
      </w:r>
      <w:r w:rsidR="00F2334C">
        <w:t>A</w:t>
      </w:r>
      <w:r w:rsidR="00C575BA">
        <w:t>lgae</w:t>
      </w:r>
      <w:r w:rsidR="00127A6E">
        <w:t xml:space="preserve"> and crustaceans were less sensitive</w:t>
      </w:r>
      <w:r w:rsidR="0021651F">
        <w:t>,</w:t>
      </w:r>
      <w:r w:rsidR="00127A6E">
        <w:t xml:space="preserve"> </w:t>
      </w:r>
      <w:r w:rsidR="00F2334C">
        <w:t>with</w:t>
      </w:r>
      <w:r w:rsidR="00127A6E">
        <w:t xml:space="preserve"> chronic </w:t>
      </w:r>
      <w:r w:rsidR="0021651F">
        <w:t xml:space="preserve">NOECs </w:t>
      </w:r>
      <w:r w:rsidR="00F2334C">
        <w:t xml:space="preserve">reported </w:t>
      </w:r>
      <w:r w:rsidR="0021651F">
        <w:t xml:space="preserve">as </w:t>
      </w:r>
      <w:r w:rsidR="003E6CA5">
        <w:t>8</w:t>
      </w:r>
      <w:r>
        <w:t> </w:t>
      </w:r>
      <w:r w:rsidR="003E6CA5">
        <w:t>000</w:t>
      </w:r>
      <w:r>
        <w:t> </w:t>
      </w:r>
      <w:r w:rsidR="003E6CA5">
        <w:t xml:space="preserve">µg/L for </w:t>
      </w:r>
      <w:r w:rsidR="00F2334C">
        <w:t xml:space="preserve">the green alga </w:t>
      </w:r>
      <w:r w:rsidR="003E6CA5" w:rsidRPr="009C7C15">
        <w:rPr>
          <w:rStyle w:val="Emphasis"/>
        </w:rPr>
        <w:t>Raphidocelis subcapitata</w:t>
      </w:r>
      <w:r w:rsidR="003E6CA5">
        <w:t xml:space="preserve"> (4</w:t>
      </w:r>
      <w:r w:rsidR="001041AD">
        <w:t> </w:t>
      </w:r>
      <w:r w:rsidR="003E6CA5">
        <w:t>day growth</w:t>
      </w:r>
      <w:r w:rsidR="0021651F">
        <w:t xml:space="preserve"> </w:t>
      </w:r>
      <w:r w:rsidR="00EE6222">
        <w:t>(</w:t>
      </w:r>
      <w:r w:rsidR="00D17866">
        <w:t xml:space="preserve">USEPA </w:t>
      </w:r>
      <w:r w:rsidR="00B13529">
        <w:t>OPP</w:t>
      </w:r>
      <w:r w:rsidR="003E6CA5">
        <w:t xml:space="preserve"> 2019</w:t>
      </w:r>
      <w:r w:rsidR="00EE6222">
        <w:t>)</w:t>
      </w:r>
      <w:r w:rsidR="0021651F">
        <w:t xml:space="preserve">), </w:t>
      </w:r>
      <w:r w:rsidR="003E6CA5">
        <w:t>10</w:t>
      </w:r>
      <w:r w:rsidR="001041AD">
        <w:t> </w:t>
      </w:r>
      <w:r w:rsidR="003E6CA5">
        <w:t>000</w:t>
      </w:r>
      <w:r w:rsidR="001041AD">
        <w:t> </w:t>
      </w:r>
      <w:r w:rsidR="003E6CA5">
        <w:t xml:space="preserve">µg/L for </w:t>
      </w:r>
      <w:r w:rsidR="00F2334C">
        <w:t xml:space="preserve">the green alga </w:t>
      </w:r>
      <w:r w:rsidR="003E6CA5" w:rsidRPr="001041AD">
        <w:rPr>
          <w:rStyle w:val="Emphasis"/>
        </w:rPr>
        <w:t>Chlorella vulgaris</w:t>
      </w:r>
      <w:r w:rsidR="003E6CA5">
        <w:t xml:space="preserve"> (4</w:t>
      </w:r>
      <w:r>
        <w:t> </w:t>
      </w:r>
      <w:r w:rsidR="003E6CA5">
        <w:t>day growth</w:t>
      </w:r>
      <w:r w:rsidR="0021651F">
        <w:t xml:space="preserve"> </w:t>
      </w:r>
      <w:r w:rsidR="00942B94">
        <w:t>(</w:t>
      </w:r>
      <w:r w:rsidR="003E6CA5">
        <w:t>Garten 1990</w:t>
      </w:r>
      <w:r w:rsidR="00942B94">
        <w:t>)</w:t>
      </w:r>
      <w:r w:rsidR="003E6CA5">
        <w:t>)</w:t>
      </w:r>
      <w:r w:rsidR="00127A6E">
        <w:t xml:space="preserve"> and 11</w:t>
      </w:r>
      <w:r w:rsidR="001041AD">
        <w:t> </w:t>
      </w:r>
      <w:r w:rsidR="00127A6E">
        <w:t>800</w:t>
      </w:r>
      <w:r w:rsidR="001041AD">
        <w:t> </w:t>
      </w:r>
      <w:r w:rsidR="00127A6E">
        <w:t xml:space="preserve">µg/L </w:t>
      </w:r>
      <w:r w:rsidR="00F2334C">
        <w:t xml:space="preserve">for the </w:t>
      </w:r>
      <w:r w:rsidR="0042207E">
        <w:t>crustacean (</w:t>
      </w:r>
      <w:r w:rsidR="00662EA0">
        <w:t>waterflea</w:t>
      </w:r>
      <w:r w:rsidR="0042207E">
        <w:t>)</w:t>
      </w:r>
      <w:r w:rsidR="00F2334C">
        <w:t xml:space="preserve"> </w:t>
      </w:r>
      <w:r w:rsidR="00127A6E" w:rsidRPr="001041AD">
        <w:rPr>
          <w:rStyle w:val="Emphasis"/>
        </w:rPr>
        <w:t>Daphnia magna</w:t>
      </w:r>
      <w:r w:rsidR="00127A6E">
        <w:t xml:space="preserve"> </w:t>
      </w:r>
      <w:r w:rsidR="00F2334C">
        <w:t>(</w:t>
      </w:r>
      <w:r w:rsidR="00127A6E">
        <w:t>21</w:t>
      </w:r>
      <w:r>
        <w:t> </w:t>
      </w:r>
      <w:r w:rsidR="00127A6E">
        <w:t>day reproduction</w:t>
      </w:r>
      <w:r w:rsidR="0021651F">
        <w:t xml:space="preserve"> </w:t>
      </w:r>
      <w:r w:rsidR="00942B94">
        <w:t>(</w:t>
      </w:r>
      <w:r w:rsidR="00127A6E">
        <w:t>Gerish et al. 1985</w:t>
      </w:r>
      <w:r w:rsidR="00942B94">
        <w:t>)</w:t>
      </w:r>
      <w:r w:rsidR="00127A6E">
        <w:t>).</w:t>
      </w:r>
    </w:p>
    <w:p w14:paraId="4E042E57" w14:textId="77777777" w:rsidR="00564897" w:rsidRPr="00564897" w:rsidRDefault="00F039DE" w:rsidP="001B4897">
      <w:r w:rsidRPr="00564897">
        <w:rPr>
          <w:rFonts w:cs="Times New Roman"/>
        </w:rPr>
        <w:t xml:space="preserve">The available acute aquatic toxicity data for picloram </w:t>
      </w:r>
      <w:r w:rsidR="009C7C15">
        <w:rPr>
          <w:rFonts w:cs="Times New Roman"/>
        </w:rPr>
        <w:t>typically report</w:t>
      </w:r>
      <w:r w:rsidRPr="00564897">
        <w:rPr>
          <w:rFonts w:cs="Times New Roman"/>
        </w:rPr>
        <w:t xml:space="preserve"> </w:t>
      </w:r>
      <w:r w:rsidR="005B0885">
        <w:rPr>
          <w:rFonts w:cs="Times New Roman"/>
        </w:rPr>
        <w:t>effects on survival</w:t>
      </w:r>
      <w:r w:rsidR="00F2334C">
        <w:rPr>
          <w:rFonts w:cs="Times New Roman"/>
        </w:rPr>
        <w:t xml:space="preserve">, predominantly </w:t>
      </w:r>
      <w:r w:rsidR="00411D8E">
        <w:rPr>
          <w:rFonts w:cs="Times New Roman"/>
        </w:rPr>
        <w:t>for</w:t>
      </w:r>
      <w:r w:rsidR="00F2334C">
        <w:rPr>
          <w:rFonts w:cs="Times New Roman"/>
        </w:rPr>
        <w:t xml:space="preserve"> fish, with some studies </w:t>
      </w:r>
      <w:r w:rsidR="00662EA0">
        <w:rPr>
          <w:rFonts w:cs="Times New Roman"/>
        </w:rPr>
        <w:t>for</w:t>
      </w:r>
      <w:r w:rsidR="00F2334C">
        <w:rPr>
          <w:rFonts w:cs="Times New Roman"/>
        </w:rPr>
        <w:t xml:space="preserve"> crustaceans and insects</w:t>
      </w:r>
      <w:r w:rsidRPr="00564897">
        <w:rPr>
          <w:rFonts w:cs="Times New Roman"/>
        </w:rPr>
        <w:t>. Of the data</w:t>
      </w:r>
      <w:r w:rsidR="00F2334C">
        <w:rPr>
          <w:rFonts w:cs="Times New Roman"/>
        </w:rPr>
        <w:t xml:space="preserve"> </w:t>
      </w:r>
      <w:r w:rsidR="00F2334C">
        <w:t>where purity was greater than 80%</w:t>
      </w:r>
      <w:r w:rsidRPr="00564897">
        <w:rPr>
          <w:rFonts w:cs="Times New Roman"/>
        </w:rPr>
        <w:t xml:space="preserve">, fish </w:t>
      </w:r>
      <w:r w:rsidR="00662EA0">
        <w:rPr>
          <w:rFonts w:cs="Times New Roman"/>
        </w:rPr>
        <w:t xml:space="preserve">were </w:t>
      </w:r>
      <w:r w:rsidRPr="00564897">
        <w:rPr>
          <w:rFonts w:cs="Times New Roman"/>
        </w:rPr>
        <w:t>mo</w:t>
      </w:r>
      <w:r w:rsidR="00662EA0">
        <w:rPr>
          <w:rFonts w:cs="Times New Roman"/>
        </w:rPr>
        <w:t>re</w:t>
      </w:r>
      <w:r w:rsidRPr="00564897">
        <w:rPr>
          <w:rFonts w:cs="Times New Roman"/>
        </w:rPr>
        <w:t xml:space="preserve"> sensitive. Data presented in </w:t>
      </w:r>
      <w:r w:rsidR="00D17866">
        <w:rPr>
          <w:rFonts w:cs="Times New Roman"/>
        </w:rPr>
        <w:t xml:space="preserve">USEPA </w:t>
      </w:r>
      <w:r w:rsidRPr="00564897">
        <w:rPr>
          <w:rFonts w:cs="Times New Roman"/>
        </w:rPr>
        <w:t>OPP (2019) reported 96</w:t>
      </w:r>
      <w:r w:rsidR="009C7C15">
        <w:rPr>
          <w:rFonts w:cs="Times New Roman"/>
        </w:rPr>
        <w:t> </w:t>
      </w:r>
      <w:r w:rsidRPr="00564897">
        <w:rPr>
          <w:rFonts w:cs="Times New Roman"/>
        </w:rPr>
        <w:t>h LC50s of 1</w:t>
      </w:r>
      <w:r w:rsidR="003B0C47">
        <w:rPr>
          <w:rFonts w:cs="Times New Roman"/>
        </w:rPr>
        <w:t> </w:t>
      </w:r>
      <w:r w:rsidRPr="00564897">
        <w:rPr>
          <w:rFonts w:cs="Times New Roman"/>
        </w:rPr>
        <w:t>400</w:t>
      </w:r>
      <w:r w:rsidR="003B0C47">
        <w:rPr>
          <w:rFonts w:cs="Times New Roman"/>
        </w:rPr>
        <w:t> </w:t>
      </w:r>
      <w:r w:rsidRPr="00564897">
        <w:t xml:space="preserve">µg/L for </w:t>
      </w:r>
      <w:r w:rsidR="00662EA0">
        <w:rPr>
          <w:rFonts w:cs="Times New Roman"/>
        </w:rPr>
        <w:t>c</w:t>
      </w:r>
      <w:r w:rsidR="00662EA0" w:rsidRPr="00564897">
        <w:rPr>
          <w:rFonts w:cs="Times New Roman"/>
        </w:rPr>
        <w:t xml:space="preserve">hannel </w:t>
      </w:r>
      <w:r w:rsidRPr="00564897">
        <w:rPr>
          <w:rFonts w:cs="Times New Roman"/>
        </w:rPr>
        <w:t>catfish (</w:t>
      </w:r>
      <w:r w:rsidRPr="003B0C47">
        <w:rPr>
          <w:rStyle w:val="Emphasis"/>
        </w:rPr>
        <w:t>Ictalurus punctatus</w:t>
      </w:r>
      <w:r w:rsidRPr="00564897">
        <w:rPr>
          <w:rFonts w:cs="Times New Roman"/>
        </w:rPr>
        <w:t>), 1</w:t>
      </w:r>
      <w:r w:rsidR="00D525B9">
        <w:rPr>
          <w:rFonts w:cs="Times New Roman"/>
        </w:rPr>
        <w:t> </w:t>
      </w:r>
      <w:r w:rsidRPr="00564897">
        <w:rPr>
          <w:rFonts w:cs="Times New Roman"/>
        </w:rPr>
        <w:t>500</w:t>
      </w:r>
      <w:r w:rsidR="00D525B9">
        <w:rPr>
          <w:rFonts w:cs="Times New Roman"/>
        </w:rPr>
        <w:t> </w:t>
      </w:r>
      <w:r w:rsidRPr="00564897">
        <w:t>µg/L</w:t>
      </w:r>
      <w:r w:rsidRPr="00564897">
        <w:rPr>
          <w:rFonts w:cs="Times New Roman"/>
        </w:rPr>
        <w:t xml:space="preserve"> and 3</w:t>
      </w:r>
      <w:r w:rsidR="00D525B9">
        <w:rPr>
          <w:rFonts w:cs="Times New Roman"/>
        </w:rPr>
        <w:t> </w:t>
      </w:r>
      <w:r w:rsidRPr="00564897">
        <w:rPr>
          <w:rFonts w:cs="Times New Roman"/>
        </w:rPr>
        <w:t>500</w:t>
      </w:r>
      <w:r w:rsidR="00D525B9">
        <w:rPr>
          <w:rFonts w:cs="Times New Roman"/>
        </w:rPr>
        <w:t> </w:t>
      </w:r>
      <w:r w:rsidRPr="00564897">
        <w:t>µg/L</w:t>
      </w:r>
      <w:r w:rsidRPr="00564897">
        <w:rPr>
          <w:rFonts w:cs="Times New Roman"/>
        </w:rPr>
        <w:t xml:space="preserve"> for </w:t>
      </w:r>
      <w:r w:rsidR="00662EA0">
        <w:rPr>
          <w:rFonts w:cs="Times New Roman"/>
        </w:rPr>
        <w:t>c</w:t>
      </w:r>
      <w:r w:rsidR="00662EA0" w:rsidRPr="00564897">
        <w:rPr>
          <w:rFonts w:cs="Times New Roman"/>
        </w:rPr>
        <w:t xml:space="preserve">utthroat </w:t>
      </w:r>
      <w:r w:rsidRPr="00564897">
        <w:rPr>
          <w:rFonts w:cs="Times New Roman"/>
        </w:rPr>
        <w:t>trout (</w:t>
      </w:r>
      <w:r w:rsidR="002F5ABA" w:rsidRPr="003B0C47">
        <w:rPr>
          <w:rStyle w:val="Emphasis"/>
        </w:rPr>
        <w:t>Oncorhynchus</w:t>
      </w:r>
      <w:r w:rsidRPr="00564897">
        <w:rPr>
          <w:rFonts w:cs="Times New Roman"/>
          <w:i/>
        </w:rPr>
        <w:t xml:space="preserve"> </w:t>
      </w:r>
      <w:r w:rsidRPr="003B0C47">
        <w:rPr>
          <w:rStyle w:val="Emphasis"/>
        </w:rPr>
        <w:t>clarkii</w:t>
      </w:r>
      <w:r w:rsidRPr="00564897">
        <w:rPr>
          <w:rFonts w:cs="Times New Roman"/>
        </w:rPr>
        <w:t>)</w:t>
      </w:r>
      <w:r w:rsidR="00681FFA">
        <w:rPr>
          <w:rFonts w:cs="Times New Roman"/>
        </w:rPr>
        <w:t>,</w:t>
      </w:r>
      <w:r w:rsidRPr="00564897">
        <w:rPr>
          <w:rFonts w:cs="Times New Roman"/>
        </w:rPr>
        <w:t xml:space="preserve"> and 1</w:t>
      </w:r>
      <w:r w:rsidR="00D525B9">
        <w:rPr>
          <w:rFonts w:cs="Times New Roman"/>
        </w:rPr>
        <w:t> </w:t>
      </w:r>
      <w:r w:rsidRPr="00564897">
        <w:rPr>
          <w:rFonts w:cs="Times New Roman"/>
        </w:rPr>
        <w:t>900</w:t>
      </w:r>
      <w:r w:rsidR="00D525B9">
        <w:rPr>
          <w:rFonts w:cs="Times New Roman"/>
        </w:rPr>
        <w:t> </w:t>
      </w:r>
      <w:r w:rsidRPr="00564897">
        <w:t>µg/L</w:t>
      </w:r>
      <w:r w:rsidR="00681FFA">
        <w:t xml:space="preserve"> and</w:t>
      </w:r>
      <w:r w:rsidRPr="00564897">
        <w:rPr>
          <w:rFonts w:cs="Times New Roman"/>
        </w:rPr>
        <w:t xml:space="preserve"> 2</w:t>
      </w:r>
      <w:r w:rsidR="00D525B9">
        <w:rPr>
          <w:rFonts w:cs="Times New Roman"/>
        </w:rPr>
        <w:t> </w:t>
      </w:r>
      <w:r w:rsidRPr="00564897">
        <w:rPr>
          <w:rFonts w:cs="Times New Roman"/>
        </w:rPr>
        <w:t>400</w:t>
      </w:r>
      <w:r w:rsidR="00681FFA">
        <w:rPr>
          <w:rFonts w:cs="Times New Roman"/>
        </w:rPr>
        <w:t>–</w:t>
      </w:r>
      <w:r w:rsidRPr="00564897">
        <w:rPr>
          <w:rFonts w:cs="Times New Roman"/>
        </w:rPr>
        <w:t>2</w:t>
      </w:r>
      <w:r w:rsidR="001B09EB">
        <w:rPr>
          <w:rFonts w:cs="Times New Roman"/>
        </w:rPr>
        <w:t> </w:t>
      </w:r>
      <w:r w:rsidRPr="00564897">
        <w:rPr>
          <w:rFonts w:cs="Times New Roman"/>
        </w:rPr>
        <w:t>900</w:t>
      </w:r>
      <w:r w:rsidR="001B09EB">
        <w:rPr>
          <w:rFonts w:cs="Times New Roman"/>
        </w:rPr>
        <w:t> </w:t>
      </w:r>
      <w:r w:rsidRPr="00564897">
        <w:t xml:space="preserve">µg/L </w:t>
      </w:r>
      <w:r w:rsidRPr="00564897">
        <w:rPr>
          <w:rFonts w:cs="Times New Roman"/>
        </w:rPr>
        <w:t xml:space="preserve">for </w:t>
      </w:r>
      <w:r w:rsidR="00662EA0">
        <w:rPr>
          <w:rFonts w:cs="Times New Roman"/>
        </w:rPr>
        <w:t>l</w:t>
      </w:r>
      <w:r w:rsidR="00662EA0" w:rsidRPr="00564897">
        <w:rPr>
          <w:rFonts w:cs="Times New Roman"/>
        </w:rPr>
        <w:t xml:space="preserve">ake </w:t>
      </w:r>
      <w:r w:rsidRPr="00564897">
        <w:rPr>
          <w:rFonts w:cs="Times New Roman"/>
        </w:rPr>
        <w:t>trout (</w:t>
      </w:r>
      <w:r w:rsidRPr="003B0C47">
        <w:rPr>
          <w:rStyle w:val="Emphasis"/>
        </w:rPr>
        <w:t>Salvelinus namaycush</w:t>
      </w:r>
      <w:r w:rsidRPr="00564897">
        <w:rPr>
          <w:rFonts w:cs="Times New Roman"/>
        </w:rPr>
        <w:t xml:space="preserve">). </w:t>
      </w:r>
      <w:r>
        <w:rPr>
          <w:rFonts w:cs="Times New Roman"/>
        </w:rPr>
        <w:t>Other fish species were less sensitive</w:t>
      </w:r>
      <w:r w:rsidR="00681FFA">
        <w:rPr>
          <w:rFonts w:cs="Times New Roman"/>
        </w:rPr>
        <w:t>,</w:t>
      </w:r>
      <w:r>
        <w:rPr>
          <w:rFonts w:cs="Times New Roman"/>
        </w:rPr>
        <w:t xml:space="preserve"> with 96</w:t>
      </w:r>
      <w:r w:rsidR="00681FFA">
        <w:rPr>
          <w:rFonts w:cs="Times New Roman"/>
        </w:rPr>
        <w:t> </w:t>
      </w:r>
      <w:r>
        <w:rPr>
          <w:rFonts w:cs="Times New Roman"/>
        </w:rPr>
        <w:t>h LC50s ranging between 13</w:t>
      </w:r>
      <w:r w:rsidR="001B09EB">
        <w:rPr>
          <w:rFonts w:cs="Times New Roman"/>
        </w:rPr>
        <w:t> </w:t>
      </w:r>
      <w:r>
        <w:rPr>
          <w:rFonts w:cs="Times New Roman"/>
        </w:rPr>
        <w:t>500</w:t>
      </w:r>
      <w:r w:rsidR="00681FFA">
        <w:rPr>
          <w:rFonts w:cs="Times New Roman"/>
        </w:rPr>
        <w:t> </w:t>
      </w:r>
      <w:r w:rsidR="00681FFA" w:rsidRPr="00564897">
        <w:t>µg/L</w:t>
      </w:r>
      <w:r>
        <w:rPr>
          <w:rFonts w:cs="Times New Roman"/>
        </w:rPr>
        <w:t xml:space="preserve"> and 44</w:t>
      </w:r>
      <w:r w:rsidR="001B09EB">
        <w:rPr>
          <w:rFonts w:cs="Times New Roman"/>
        </w:rPr>
        <w:t> </w:t>
      </w:r>
      <w:r>
        <w:rPr>
          <w:rFonts w:cs="Times New Roman"/>
        </w:rPr>
        <w:t>500</w:t>
      </w:r>
      <w:r w:rsidR="001B09EB">
        <w:rPr>
          <w:rFonts w:cs="Times New Roman"/>
        </w:rPr>
        <w:t> </w:t>
      </w:r>
      <w:r w:rsidRPr="00564897">
        <w:t>µg/L</w:t>
      </w:r>
      <w:r>
        <w:t xml:space="preserve"> for </w:t>
      </w:r>
      <w:r w:rsidR="00662EA0">
        <w:t>b</w:t>
      </w:r>
      <w:r>
        <w:t>luegill (</w:t>
      </w:r>
      <w:r w:rsidRPr="003B0C47">
        <w:rPr>
          <w:rStyle w:val="Emphasis"/>
        </w:rPr>
        <w:t>Lepomis macrochirus</w:t>
      </w:r>
      <w:r>
        <w:t>) and 55</w:t>
      </w:r>
      <w:r w:rsidR="001B09EB">
        <w:t> </w:t>
      </w:r>
      <w:r>
        <w:t>300</w:t>
      </w:r>
      <w:r w:rsidR="001B09EB">
        <w:t> </w:t>
      </w:r>
      <w:r w:rsidR="00B13529" w:rsidRPr="00564897">
        <w:t>µg/L</w:t>
      </w:r>
      <w:r w:rsidR="00B13529">
        <w:t xml:space="preserve"> </w:t>
      </w:r>
      <w:r>
        <w:t xml:space="preserve">for </w:t>
      </w:r>
      <w:r w:rsidR="00662EA0">
        <w:t xml:space="preserve">fathead </w:t>
      </w:r>
      <w:r>
        <w:t>minnow (</w:t>
      </w:r>
      <w:r w:rsidRPr="003B0C47">
        <w:rPr>
          <w:rStyle w:val="Emphasis"/>
        </w:rPr>
        <w:t>Pimephales promelas</w:t>
      </w:r>
      <w:r>
        <w:t xml:space="preserve">). Of the </w:t>
      </w:r>
      <w:r w:rsidR="00662EA0">
        <w:t>remaining</w:t>
      </w:r>
      <w:r>
        <w:t xml:space="preserve"> </w:t>
      </w:r>
      <w:r w:rsidR="009A4C40">
        <w:t>data,</w:t>
      </w:r>
      <w:r>
        <w:t xml:space="preserve"> </w:t>
      </w:r>
      <w:r w:rsidR="003458AC">
        <w:t>crustaceans</w:t>
      </w:r>
      <w:r>
        <w:t xml:space="preserve"> were more sensitive than </w:t>
      </w:r>
      <w:r w:rsidR="003458AC">
        <w:t>insects</w:t>
      </w:r>
      <w:r w:rsidR="002C3685">
        <w:t xml:space="preserve">, although only within </w:t>
      </w:r>
      <w:r w:rsidR="002C3685">
        <w:lastRenderedPageBreak/>
        <w:t xml:space="preserve">a factor of </w:t>
      </w:r>
      <w:r w:rsidR="00681FFA">
        <w:t>2–3</w:t>
      </w:r>
      <w:r w:rsidR="0042207E">
        <w:t xml:space="preserve">. </w:t>
      </w:r>
      <w:r w:rsidR="009A4C40">
        <w:t>The</w:t>
      </w:r>
      <w:r w:rsidR="0042207E">
        <w:t xml:space="preserve"> </w:t>
      </w:r>
      <w:r>
        <w:t>96</w:t>
      </w:r>
      <w:r w:rsidR="00681FFA">
        <w:t> </w:t>
      </w:r>
      <w:r>
        <w:t>h</w:t>
      </w:r>
      <w:r w:rsidR="0042207E">
        <w:t xml:space="preserve"> </w:t>
      </w:r>
      <w:r>
        <w:t xml:space="preserve">LC50s </w:t>
      </w:r>
      <w:r w:rsidR="009A4C40">
        <w:t xml:space="preserve">for the </w:t>
      </w:r>
      <w:r w:rsidR="00681FFA">
        <w:t xml:space="preserve">crustaceans </w:t>
      </w:r>
      <w:r w:rsidR="009A4C40" w:rsidRPr="003B0C47">
        <w:rPr>
          <w:rStyle w:val="Emphasis"/>
        </w:rPr>
        <w:t>Gammarus pseudolimnaeus</w:t>
      </w:r>
      <w:r w:rsidR="009A4C40">
        <w:t xml:space="preserve"> and </w:t>
      </w:r>
      <w:r w:rsidR="009A4C40" w:rsidRPr="003B0C47">
        <w:rPr>
          <w:rStyle w:val="Emphasis"/>
        </w:rPr>
        <w:t>G</w:t>
      </w:r>
      <w:r w:rsidR="002F5ABA" w:rsidRPr="003B0C47">
        <w:rPr>
          <w:rStyle w:val="Emphasis"/>
        </w:rPr>
        <w:t>ammarus</w:t>
      </w:r>
      <w:r w:rsidR="009A4C40" w:rsidRPr="003B0C47">
        <w:rPr>
          <w:rStyle w:val="Emphasis"/>
        </w:rPr>
        <w:t xml:space="preserve"> fasciatus</w:t>
      </w:r>
      <w:r w:rsidR="009A4C40">
        <w:t xml:space="preserve"> were </w:t>
      </w:r>
      <w:r>
        <w:t>16</w:t>
      </w:r>
      <w:r w:rsidR="001B09EB">
        <w:t> </w:t>
      </w:r>
      <w:r>
        <w:t>500</w:t>
      </w:r>
      <w:r w:rsidR="00662EA0">
        <w:t> </w:t>
      </w:r>
      <w:r w:rsidR="00620AB8" w:rsidRPr="00564897">
        <w:t>µg/L</w:t>
      </w:r>
      <w:r>
        <w:t xml:space="preserve"> </w:t>
      </w:r>
      <w:r w:rsidR="0042207E">
        <w:t xml:space="preserve">and </w:t>
      </w:r>
      <w:r>
        <w:t>27</w:t>
      </w:r>
      <w:r w:rsidR="001B09EB">
        <w:t> </w:t>
      </w:r>
      <w:r>
        <w:t>000</w:t>
      </w:r>
      <w:r w:rsidR="001B09EB">
        <w:t> </w:t>
      </w:r>
      <w:r w:rsidR="00620AB8" w:rsidRPr="00564897">
        <w:t>µg/L</w:t>
      </w:r>
      <w:r w:rsidR="0042207E">
        <w:rPr>
          <w:iCs/>
        </w:rPr>
        <w:t>, respectively</w:t>
      </w:r>
      <w:r w:rsidR="009A4C40">
        <w:rPr>
          <w:iCs/>
        </w:rPr>
        <w:t>, while</w:t>
      </w:r>
      <w:r w:rsidR="002955BA">
        <w:rPr>
          <w:iCs/>
        </w:rPr>
        <w:t xml:space="preserve"> a</w:t>
      </w:r>
      <w:r w:rsidR="0042207E">
        <w:rPr>
          <w:iCs/>
        </w:rPr>
        <w:t xml:space="preserve"> 96</w:t>
      </w:r>
      <w:r w:rsidR="006D4144">
        <w:rPr>
          <w:iCs/>
        </w:rPr>
        <w:t> </w:t>
      </w:r>
      <w:r w:rsidR="0042207E">
        <w:rPr>
          <w:iCs/>
        </w:rPr>
        <w:t>h LC50 of</w:t>
      </w:r>
      <w:r>
        <w:t xml:space="preserve"> 48</w:t>
      </w:r>
      <w:r w:rsidR="001B09EB">
        <w:t> </w:t>
      </w:r>
      <w:r>
        <w:t>000</w:t>
      </w:r>
      <w:r w:rsidR="001B09EB">
        <w:t> </w:t>
      </w:r>
      <w:r w:rsidR="00620AB8" w:rsidRPr="00564897">
        <w:t>µg/L</w:t>
      </w:r>
      <w:r w:rsidR="00620AB8">
        <w:t xml:space="preserve"> </w:t>
      </w:r>
      <w:r w:rsidR="0042207E">
        <w:t xml:space="preserve">was </w:t>
      </w:r>
      <w:r w:rsidR="009A4C40">
        <w:t xml:space="preserve">reported </w:t>
      </w:r>
      <w:r w:rsidR="00662EA0">
        <w:t xml:space="preserve">for the stonefly </w:t>
      </w:r>
      <w:r w:rsidR="00620AB8" w:rsidRPr="003B0C47">
        <w:rPr>
          <w:rStyle w:val="Emphasis"/>
        </w:rPr>
        <w:t>Pteronarcys californica</w:t>
      </w:r>
      <w:r w:rsidR="00620AB8">
        <w:t xml:space="preserve"> (</w:t>
      </w:r>
      <w:r w:rsidR="00D17866">
        <w:t xml:space="preserve">USEPA </w:t>
      </w:r>
      <w:r w:rsidR="00620AB8">
        <w:t xml:space="preserve">OPP 2019). </w:t>
      </w:r>
    </w:p>
    <w:p w14:paraId="4E042E58" w14:textId="77777777" w:rsidR="00A47617" w:rsidRPr="00AE7845" w:rsidRDefault="00F039DE" w:rsidP="00A47617">
      <w:pPr>
        <w:pStyle w:val="Heading2"/>
      </w:pPr>
      <w:bookmarkStart w:id="8" w:name="_Toc80543131"/>
      <w:r>
        <w:t>Factors affecting toxicity</w:t>
      </w:r>
      <w:bookmarkEnd w:id="8"/>
    </w:p>
    <w:p w14:paraId="4E042E59" w14:textId="77777777" w:rsidR="000C0DD0" w:rsidRDefault="00F039DE" w:rsidP="000C0DD0">
      <w:pPr>
        <w:rPr>
          <w:bCs/>
        </w:rPr>
      </w:pPr>
      <w:r w:rsidRPr="00723931">
        <w:rPr>
          <w:bCs/>
        </w:rPr>
        <w:t xml:space="preserve">No abiotic factors affecting the toxicity of </w:t>
      </w:r>
      <w:r w:rsidR="00C03488">
        <w:rPr>
          <w:bCs/>
        </w:rPr>
        <w:t>picloram</w:t>
      </w:r>
      <w:r w:rsidRPr="00723931">
        <w:rPr>
          <w:bCs/>
        </w:rPr>
        <w:t xml:space="preserve"> were identified</w:t>
      </w:r>
      <w:r w:rsidR="00D819E3">
        <w:rPr>
          <w:bCs/>
        </w:rPr>
        <w:t>.</w:t>
      </w:r>
    </w:p>
    <w:p w14:paraId="4E042E5A" w14:textId="77777777" w:rsidR="00BF0280" w:rsidRDefault="00F039DE" w:rsidP="00A47617">
      <w:pPr>
        <w:pStyle w:val="Heading2"/>
      </w:pPr>
      <w:bookmarkStart w:id="9" w:name="_Toc80543132"/>
      <w:r>
        <w:t>Default guideline value derivation</w:t>
      </w:r>
      <w:bookmarkEnd w:id="9"/>
    </w:p>
    <w:p w14:paraId="4E042E5B" w14:textId="77777777" w:rsidR="00A47617" w:rsidRDefault="00C46B77" w:rsidP="00A47617">
      <w:sdt>
        <w:sdtPr>
          <w:alias w:val="Compulsary - text and location locked to 4."/>
          <w:tag w:val="Compulsary - text and location locked"/>
          <w:id w:val="1416975399"/>
          <w:placeholder>
            <w:docPart w:val="B20CCC024575420DB346A2897E1BFAA1"/>
          </w:placeholder>
          <w15:color w:val="FFFFFF"/>
          <w:text/>
        </w:sdtPr>
        <w:sdtEndPr/>
        <w:sdtContent>
          <w:r w:rsidR="00F039DE" w:rsidRPr="009E02B0">
            <w:t>The DGVs were derived in accordance with the method described in Warne et al. (2018) and using Burrlioz 2.0 software.</w:t>
          </w:r>
        </w:sdtContent>
      </w:sdt>
    </w:p>
    <w:p w14:paraId="4E042E5C" w14:textId="77777777" w:rsidR="00BF0280" w:rsidRPr="00492EBF" w:rsidRDefault="00F039DE" w:rsidP="001303C0">
      <w:pPr>
        <w:pStyle w:val="Heading3"/>
      </w:pPr>
      <w:bookmarkStart w:id="10" w:name="_Toc80543133"/>
      <w:r w:rsidRPr="00492EBF">
        <w:t>Toxicity data used in derivation</w:t>
      </w:r>
      <w:bookmarkEnd w:id="10"/>
    </w:p>
    <w:p w14:paraId="4E042E5D" w14:textId="0AA1AF2C" w:rsidR="001303C0" w:rsidRPr="0068670A" w:rsidRDefault="00F039DE" w:rsidP="001303C0">
      <w:pPr>
        <w:spacing w:before="240"/>
      </w:pPr>
      <w:r w:rsidRPr="0068670A">
        <w:t xml:space="preserve">A summary of the toxicity data (one value per species) </w:t>
      </w:r>
      <w:r w:rsidR="00C62C23" w:rsidRPr="0068670A">
        <w:t xml:space="preserve">and conversions </w:t>
      </w:r>
      <w:r w:rsidRPr="0068670A">
        <w:t xml:space="preserve">used to calculate the DGVs for </w:t>
      </w:r>
      <w:r w:rsidR="0068670A" w:rsidRPr="0068670A">
        <w:t>picloram</w:t>
      </w:r>
      <w:r w:rsidR="00542F9A" w:rsidRPr="0068670A">
        <w:t xml:space="preserve"> </w:t>
      </w:r>
      <w:r w:rsidRPr="0068670A">
        <w:t xml:space="preserve">in freshwater is provided in </w:t>
      </w:r>
      <w:r w:rsidR="00592BE8">
        <w:fldChar w:fldCharType="begin"/>
      </w:r>
      <w:r w:rsidR="00592BE8">
        <w:instrText xml:space="preserve"> REF _Ref80542641 \h </w:instrText>
      </w:r>
      <w:r w:rsidR="00592BE8">
        <w:fldChar w:fldCharType="separate"/>
      </w:r>
      <w:r w:rsidR="006700C9">
        <w:t>Table </w:t>
      </w:r>
      <w:r w:rsidR="006700C9">
        <w:rPr>
          <w:noProof/>
        </w:rPr>
        <w:t>1</w:t>
      </w:r>
      <w:r w:rsidR="00592BE8">
        <w:fldChar w:fldCharType="end"/>
      </w:r>
      <w:r w:rsidRPr="0068670A">
        <w:t xml:space="preserve">. Further details on the data that passed the screening and quality assurance schemes, including those used to derive the single species values used to calculate the DGVs, are presented in </w:t>
      </w:r>
      <w:r w:rsidR="00592BE8">
        <w:fldChar w:fldCharType="begin"/>
      </w:r>
      <w:r w:rsidR="00592BE8">
        <w:instrText xml:space="preserve"> REF _Ref80542667 \h </w:instrText>
      </w:r>
      <w:r w:rsidR="00592BE8">
        <w:fldChar w:fldCharType="separate"/>
      </w:r>
      <w:r w:rsidR="006700C9" w:rsidRPr="003C5E00">
        <w:t>Appendix</w:t>
      </w:r>
      <w:r w:rsidR="006700C9">
        <w:t> </w:t>
      </w:r>
      <w:r w:rsidR="006700C9" w:rsidRPr="003C5E00">
        <w:t>A: Toxicity data that passed the screening and quality assessment</w:t>
      </w:r>
      <w:r w:rsidR="006700C9">
        <w:t xml:space="preserve"> and were used to derive the default guideline values</w:t>
      </w:r>
      <w:r w:rsidR="00592BE8">
        <w:fldChar w:fldCharType="end"/>
      </w:r>
      <w:r w:rsidRPr="0068670A">
        <w:t>.</w:t>
      </w:r>
    </w:p>
    <w:p w14:paraId="4E042E5E" w14:textId="77777777" w:rsidR="0061783E" w:rsidRDefault="00F039DE" w:rsidP="00CA2D2F">
      <w:r>
        <w:t>O</w:t>
      </w:r>
      <w:r w:rsidR="00662EA0" w:rsidRPr="00B66EFC">
        <w:t xml:space="preserve">nly data for </w:t>
      </w:r>
      <w:r w:rsidR="00662EA0" w:rsidRPr="001F1BD6">
        <w:t xml:space="preserve">picloram </w:t>
      </w:r>
      <w:r w:rsidR="00CA2D2F" w:rsidRPr="001F1BD6">
        <w:t>where the</w:t>
      </w:r>
      <w:r w:rsidR="00804776" w:rsidRPr="001F1BD6">
        <w:t xml:space="preserve"> purity </w:t>
      </w:r>
      <w:r w:rsidR="00CA2D2F" w:rsidRPr="001F1BD6">
        <w:t xml:space="preserve">was greater than 80% was </w:t>
      </w:r>
      <w:r w:rsidR="00804776" w:rsidRPr="001F1BD6">
        <w:t xml:space="preserve">used to calculate the DGVs. </w:t>
      </w:r>
      <w:r w:rsidR="00CA2D2F" w:rsidRPr="001F1BD6">
        <w:t xml:space="preserve">Results from studies using formulations where the purity was not known, or </w:t>
      </w:r>
      <w:r w:rsidR="008C53A5">
        <w:t xml:space="preserve">where the purity </w:t>
      </w:r>
      <w:r w:rsidR="00CA2D2F" w:rsidRPr="001F1BD6">
        <w:t>was less than 80%</w:t>
      </w:r>
      <w:r>
        <w:t>,</w:t>
      </w:r>
      <w:r w:rsidR="00CA2D2F" w:rsidRPr="001F1BD6">
        <w:t xml:space="preserve"> were excluded. For example, </w:t>
      </w:r>
      <w:r>
        <w:t xml:space="preserve">the following toxicity data </w:t>
      </w:r>
      <w:r w:rsidRPr="0061783E">
        <w:t xml:space="preserve">were excluded from the DGV </w:t>
      </w:r>
      <w:r>
        <w:t xml:space="preserve">derivation </w:t>
      </w:r>
      <w:r w:rsidRPr="0061783E">
        <w:t xml:space="preserve">because the </w:t>
      </w:r>
      <w:r>
        <w:t xml:space="preserve">studies used </w:t>
      </w:r>
      <w:r w:rsidRPr="0061783E">
        <w:t>formulations</w:t>
      </w:r>
      <w:r w:rsidR="002B632C">
        <w:t>.</w:t>
      </w:r>
    </w:p>
    <w:p w14:paraId="4E042E5F" w14:textId="77777777" w:rsidR="002B632C" w:rsidRDefault="00F039DE" w:rsidP="0061783E">
      <w:pPr>
        <w:pStyle w:val="ListBullet"/>
      </w:pPr>
      <w:r w:rsidRPr="001F1BD6">
        <w:t>96</w:t>
      </w:r>
      <w:r w:rsidR="0061783E">
        <w:t> </w:t>
      </w:r>
      <w:r w:rsidRPr="001F1BD6">
        <w:t>h LC50 acute data for three amphibian species</w:t>
      </w:r>
      <w:r>
        <w:t xml:space="preserve"> (</w:t>
      </w:r>
      <w:r w:rsidRPr="001F1BD6">
        <w:t>Johnson 1976</w:t>
      </w:r>
      <w:r>
        <w:t xml:space="preserve">, </w:t>
      </w:r>
      <w:r w:rsidRPr="001F1BD6">
        <w:t>Lajmanovich et al. 2013</w:t>
      </w:r>
      <w:r>
        <w:t>)</w:t>
      </w:r>
      <w:r w:rsidRPr="001F1BD6">
        <w:t xml:space="preserve">: </w:t>
      </w:r>
    </w:p>
    <w:p w14:paraId="4E042E60" w14:textId="77777777" w:rsidR="00F278F6" w:rsidRDefault="00F039DE" w:rsidP="002B632C">
      <w:pPr>
        <w:pStyle w:val="ListBullet2"/>
      </w:pPr>
      <w:r w:rsidRPr="00231A13">
        <w:rPr>
          <w:rStyle w:val="Emphasis"/>
        </w:rPr>
        <w:t>Adelotus brevis</w:t>
      </w:r>
      <w:r w:rsidRPr="001F1BD6">
        <w:t xml:space="preserve"> (</w:t>
      </w:r>
      <w:r w:rsidR="00CA2D2F" w:rsidRPr="001F1BD6">
        <w:t>tucked frog</w:t>
      </w:r>
      <w:r w:rsidRPr="001F1BD6">
        <w:t>)</w:t>
      </w:r>
      <w:r w:rsidR="00CA2D2F" w:rsidRPr="001F1BD6">
        <w:t xml:space="preserve"> (</w:t>
      </w:r>
      <w:r w:rsidRPr="001F1BD6">
        <w:t>96</w:t>
      </w:r>
      <w:r w:rsidR="002B632C">
        <w:t> </w:t>
      </w:r>
      <w:r w:rsidRPr="001F1BD6">
        <w:t>h L</w:t>
      </w:r>
      <w:r w:rsidR="000A7D5C">
        <w:t>C</w:t>
      </w:r>
      <w:r w:rsidRPr="001F1BD6">
        <w:t>50</w:t>
      </w:r>
      <w:r w:rsidR="008E216A">
        <w:t>s of</w:t>
      </w:r>
      <w:r w:rsidR="00E44E37">
        <w:t xml:space="preserve"> </w:t>
      </w:r>
      <w:r w:rsidR="00CA2D2F" w:rsidRPr="001F1BD6">
        <w:t>95</w:t>
      </w:r>
      <w:r w:rsidR="00C86AFF">
        <w:t> </w:t>
      </w:r>
      <w:r w:rsidR="00CA2D2F" w:rsidRPr="001F1BD6">
        <w:t>000</w:t>
      </w:r>
      <w:r w:rsidR="00C86AFF">
        <w:t>–</w:t>
      </w:r>
      <w:r w:rsidR="00CA2D2F" w:rsidRPr="001F1BD6">
        <w:t>154</w:t>
      </w:r>
      <w:r w:rsidR="00C86AFF">
        <w:t> </w:t>
      </w:r>
      <w:r w:rsidR="00CA2D2F" w:rsidRPr="001F1BD6">
        <w:t>000</w:t>
      </w:r>
      <w:r w:rsidR="00C86AFF">
        <w:t> </w:t>
      </w:r>
      <w:r w:rsidR="00CA2D2F" w:rsidRPr="001F1BD6">
        <w:t>µg/L)</w:t>
      </w:r>
    </w:p>
    <w:p w14:paraId="4E042E61" w14:textId="77777777" w:rsidR="00433909" w:rsidRPr="00433909" w:rsidRDefault="00F039DE" w:rsidP="002B632C">
      <w:pPr>
        <w:pStyle w:val="ListBullet2"/>
      </w:pPr>
      <w:r w:rsidRPr="00231A13">
        <w:rPr>
          <w:rStyle w:val="Emphasis"/>
        </w:rPr>
        <w:t>Limnodynastes peronii</w:t>
      </w:r>
      <w:r w:rsidRPr="001F1BD6">
        <w:t xml:space="preserve"> (</w:t>
      </w:r>
      <w:r w:rsidR="00CA2D2F" w:rsidRPr="001F1BD6">
        <w:t>striped marsh frog</w:t>
      </w:r>
      <w:r w:rsidRPr="001F1BD6">
        <w:t>)</w:t>
      </w:r>
      <w:r w:rsidR="00CA2D2F" w:rsidRPr="001F1BD6">
        <w:t xml:space="preserve"> (</w:t>
      </w:r>
      <w:r w:rsidRPr="001F1BD6">
        <w:t>96</w:t>
      </w:r>
      <w:r w:rsidR="00F278F6">
        <w:t> </w:t>
      </w:r>
      <w:r w:rsidRPr="001F1BD6">
        <w:t xml:space="preserve">h </w:t>
      </w:r>
      <w:r w:rsidR="000A7D5C">
        <w:t xml:space="preserve">LC50 </w:t>
      </w:r>
      <w:r w:rsidR="001F1BD6" w:rsidRPr="001F1BD6">
        <w:t>of</w:t>
      </w:r>
      <w:r w:rsidR="00A91A59">
        <w:t xml:space="preserve"> </w:t>
      </w:r>
      <w:r w:rsidR="00CA2D2F" w:rsidRPr="001F1BD6">
        <w:t>105</w:t>
      </w:r>
      <w:r w:rsidR="00C86AFF">
        <w:t> </w:t>
      </w:r>
      <w:r w:rsidR="00CA2D2F" w:rsidRPr="001F1BD6">
        <w:t>000</w:t>
      </w:r>
      <w:r w:rsidR="00C86AFF">
        <w:t> </w:t>
      </w:r>
      <w:r w:rsidR="00CA2D2F" w:rsidRPr="001F1BD6">
        <w:t>µg/L</w:t>
      </w:r>
      <w:r w:rsidR="00CA2D2F" w:rsidRPr="001F1BD6">
        <w:rPr>
          <w:rFonts w:cs="Times New Roman"/>
        </w:rPr>
        <w:t>)</w:t>
      </w:r>
    </w:p>
    <w:p w14:paraId="4E042E62" w14:textId="77777777" w:rsidR="0061783E" w:rsidRDefault="00F039DE" w:rsidP="002B632C">
      <w:pPr>
        <w:pStyle w:val="ListBullet2"/>
      </w:pPr>
      <w:r w:rsidRPr="00231A13">
        <w:rPr>
          <w:rStyle w:val="Emphasis"/>
        </w:rPr>
        <w:t>Rhinella arenarum</w:t>
      </w:r>
      <w:r w:rsidRPr="001F1BD6">
        <w:t xml:space="preserve"> (</w:t>
      </w:r>
      <w:r w:rsidR="00CA2D2F" w:rsidRPr="001F1BD6">
        <w:t>beaked toad</w:t>
      </w:r>
      <w:r w:rsidRPr="001F1BD6">
        <w:t>)</w:t>
      </w:r>
      <w:r w:rsidR="00CA2D2F" w:rsidRPr="001F1BD6">
        <w:t xml:space="preserve"> (</w:t>
      </w:r>
      <w:r w:rsidRPr="001F1BD6">
        <w:t>48</w:t>
      </w:r>
      <w:r w:rsidR="00433909">
        <w:t> </w:t>
      </w:r>
      <w:r w:rsidRPr="001F1BD6">
        <w:t>h LC50</w:t>
      </w:r>
      <w:r w:rsidR="001F1BD6" w:rsidRPr="001F1BD6">
        <w:t xml:space="preserve">of </w:t>
      </w:r>
      <w:r w:rsidR="00CA2D2F" w:rsidRPr="001F1BD6">
        <w:t>25</w:t>
      </w:r>
      <w:r w:rsidR="00C86AFF">
        <w:t> </w:t>
      </w:r>
      <w:r w:rsidR="00CA2D2F" w:rsidRPr="001F1BD6">
        <w:t>µg/L</w:t>
      </w:r>
      <w:r w:rsidR="001F1BD6" w:rsidRPr="001F1BD6">
        <w:t>;</w:t>
      </w:r>
      <w:r w:rsidRPr="001F1BD6">
        <w:t xml:space="preserve"> 48</w:t>
      </w:r>
      <w:r w:rsidR="00433909">
        <w:t> </w:t>
      </w:r>
      <w:r w:rsidRPr="001F1BD6">
        <w:t>h NOEC</w:t>
      </w:r>
      <w:r w:rsidR="008E216A">
        <w:t xml:space="preserve"> of </w:t>
      </w:r>
      <w:r w:rsidRPr="001F1BD6">
        <w:t>19.5</w:t>
      </w:r>
      <w:r w:rsidR="00C86AFF">
        <w:t> </w:t>
      </w:r>
      <w:r w:rsidRPr="001F1BD6">
        <w:t>µg/L</w:t>
      </w:r>
      <w:r w:rsidR="001F1BD6" w:rsidRPr="001F1BD6">
        <w:t>;</w:t>
      </w:r>
      <w:r w:rsidRPr="001F1BD6">
        <w:t xml:space="preserve"> and 48</w:t>
      </w:r>
      <w:r w:rsidR="00433909">
        <w:t> </w:t>
      </w:r>
      <w:r w:rsidRPr="001F1BD6">
        <w:t>h LOEC</w:t>
      </w:r>
      <w:r w:rsidR="001F1BD6" w:rsidRPr="001F1BD6">
        <w:t xml:space="preserve"> of</w:t>
      </w:r>
      <w:r w:rsidRPr="001F1BD6">
        <w:t xml:space="preserve"> 39</w:t>
      </w:r>
      <w:r w:rsidR="00C86AFF">
        <w:t> </w:t>
      </w:r>
      <w:r w:rsidRPr="001F1BD6">
        <w:t>µg/L</w:t>
      </w:r>
      <w:r w:rsidR="00CA2D2F" w:rsidRPr="001F1BD6">
        <w:t>)</w:t>
      </w:r>
      <w:r w:rsidR="00433909">
        <w:t>.</w:t>
      </w:r>
    </w:p>
    <w:p w14:paraId="4E042E63" w14:textId="77777777" w:rsidR="00263674" w:rsidRDefault="00F039DE" w:rsidP="0061783E">
      <w:pPr>
        <w:pStyle w:val="ListBullet"/>
      </w:pPr>
      <w:r w:rsidRPr="001F1BD6">
        <w:t>Two chronic macrophyte tests (Forsyth et al. 1997)</w:t>
      </w:r>
      <w:r>
        <w:t>:</w:t>
      </w:r>
    </w:p>
    <w:p w14:paraId="4E042E64" w14:textId="77777777" w:rsidR="00263674" w:rsidRDefault="00F039DE" w:rsidP="00263674">
      <w:pPr>
        <w:pStyle w:val="ListBullet2"/>
      </w:pPr>
      <w:r w:rsidRPr="00231A13">
        <w:rPr>
          <w:rStyle w:val="Emphasis"/>
        </w:rPr>
        <w:t>Potomogeton pectinatus</w:t>
      </w:r>
      <w:r w:rsidRPr="001F1BD6">
        <w:t xml:space="preserve"> (pondweed) </w:t>
      </w:r>
      <w:r w:rsidR="00CA2D2F" w:rsidRPr="001F1BD6">
        <w:t>(growth NOEC of 100 µg/L</w:t>
      </w:r>
      <w:r>
        <w:t>)</w:t>
      </w:r>
    </w:p>
    <w:p w14:paraId="4E042E65" w14:textId="77777777" w:rsidR="0061783E" w:rsidRDefault="00F039DE" w:rsidP="00263674">
      <w:pPr>
        <w:pStyle w:val="ListBullet2"/>
      </w:pPr>
      <w:r w:rsidRPr="00231A13">
        <w:rPr>
          <w:rStyle w:val="Emphasis"/>
        </w:rPr>
        <w:t>Myriophllum sibricum</w:t>
      </w:r>
      <w:r w:rsidR="00CA2D2F" w:rsidRPr="001F1BD6">
        <w:t xml:space="preserve"> </w:t>
      </w:r>
      <w:r w:rsidRPr="001F1BD6">
        <w:t>(</w:t>
      </w:r>
      <w:r w:rsidR="00CA2D2F" w:rsidRPr="001F1BD6">
        <w:t xml:space="preserve">water milfoil) </w:t>
      </w:r>
      <w:r w:rsidR="0058147D">
        <w:t>(</w:t>
      </w:r>
      <w:r w:rsidR="00263674" w:rsidRPr="001F1BD6">
        <w:t>growth NOEC of 100 µg/L</w:t>
      </w:r>
      <w:r w:rsidR="0058147D">
        <w:t>)</w:t>
      </w:r>
      <w:r w:rsidR="00CA2D2F" w:rsidRPr="001F1BD6">
        <w:t xml:space="preserve">. </w:t>
      </w:r>
    </w:p>
    <w:p w14:paraId="4E042E66" w14:textId="77777777" w:rsidR="0058147D" w:rsidRDefault="00F039DE" w:rsidP="0061783E">
      <w:pPr>
        <w:pStyle w:val="ListBullet"/>
      </w:pPr>
      <w:r w:rsidRPr="001F1BD6">
        <w:t>Acute studies for t</w:t>
      </w:r>
      <w:r w:rsidR="00DF1032" w:rsidRPr="001F1BD6">
        <w:t>hree</w:t>
      </w:r>
      <w:r w:rsidRPr="001F1BD6">
        <w:t xml:space="preserve"> fish</w:t>
      </w:r>
      <w:r>
        <w:t xml:space="preserve"> (</w:t>
      </w:r>
      <w:r w:rsidRPr="001F1BD6">
        <w:t>Fairchild et al. 2007</w:t>
      </w:r>
      <w:r>
        <w:t>,</w:t>
      </w:r>
      <w:r w:rsidRPr="001F1BD6">
        <w:t xml:space="preserve"> Botelho et al. 2012</w:t>
      </w:r>
      <w:r>
        <w:t>):</w:t>
      </w:r>
    </w:p>
    <w:p w14:paraId="4E042E67" w14:textId="77777777" w:rsidR="0058147D" w:rsidRDefault="00F039DE" w:rsidP="0058147D">
      <w:pPr>
        <w:pStyle w:val="ListBullet2"/>
      </w:pPr>
      <w:r w:rsidRPr="00231A13">
        <w:rPr>
          <w:rStyle w:val="Emphasis"/>
        </w:rPr>
        <w:t>Ctenopharyngodon idella</w:t>
      </w:r>
      <w:r w:rsidRPr="001F1BD6">
        <w:t xml:space="preserve"> (grass carp)</w:t>
      </w:r>
      <w:r w:rsidR="00674B61">
        <w:t xml:space="preserve"> (96</w:t>
      </w:r>
      <w:r w:rsidR="00311D20">
        <w:t> </w:t>
      </w:r>
      <w:r w:rsidR="00674B61">
        <w:t>h LC50 of 4 </w:t>
      </w:r>
      <w:r w:rsidR="00674B61" w:rsidRPr="001F1BD6">
        <w:t>000</w:t>
      </w:r>
      <w:r w:rsidR="00674B61">
        <w:t> </w:t>
      </w:r>
      <w:r w:rsidR="00674B61" w:rsidRPr="001F1BD6">
        <w:t>µg/L</w:t>
      </w:r>
      <w:r w:rsidR="00674B61">
        <w:t>)</w:t>
      </w:r>
    </w:p>
    <w:p w14:paraId="4E042E68" w14:textId="77777777" w:rsidR="0058147D" w:rsidRDefault="00F039DE" w:rsidP="0058147D">
      <w:pPr>
        <w:pStyle w:val="ListBullet2"/>
      </w:pPr>
      <w:r w:rsidRPr="00231A13">
        <w:rPr>
          <w:rStyle w:val="Emphasis"/>
        </w:rPr>
        <w:t>Salvelinus confluentus</w:t>
      </w:r>
      <w:r w:rsidRPr="001F1BD6">
        <w:t xml:space="preserve"> (bull trout)</w:t>
      </w:r>
      <w:r w:rsidR="00674B61">
        <w:t xml:space="preserve"> (96</w:t>
      </w:r>
      <w:r w:rsidR="00311D20">
        <w:t> </w:t>
      </w:r>
      <w:r w:rsidR="00674B61">
        <w:t>h LC50 of 24 </w:t>
      </w:r>
      <w:r w:rsidR="00674B61" w:rsidRPr="001F1BD6">
        <w:t>000</w:t>
      </w:r>
      <w:r w:rsidR="00674B61">
        <w:t> </w:t>
      </w:r>
      <w:r w:rsidR="00674B61" w:rsidRPr="001F1BD6">
        <w:t>µg/L</w:t>
      </w:r>
      <w:r w:rsidR="00674B61">
        <w:t>)</w:t>
      </w:r>
    </w:p>
    <w:p w14:paraId="4E042E69" w14:textId="77777777" w:rsidR="0058147D" w:rsidRDefault="00F039DE" w:rsidP="0058147D">
      <w:pPr>
        <w:pStyle w:val="ListBullet2"/>
      </w:pPr>
      <w:r w:rsidRPr="001041AD">
        <w:rPr>
          <w:rStyle w:val="Emphasis"/>
        </w:rPr>
        <w:t>Oncorhynchus</w:t>
      </w:r>
      <w:r w:rsidR="002F5ABA" w:rsidRPr="00231A13">
        <w:rPr>
          <w:rStyle w:val="Emphasis"/>
        </w:rPr>
        <w:t xml:space="preserve"> </w:t>
      </w:r>
      <w:r w:rsidR="00DF1032" w:rsidRPr="00231A13">
        <w:rPr>
          <w:rStyle w:val="Emphasis"/>
        </w:rPr>
        <w:t>mykiss</w:t>
      </w:r>
      <w:r w:rsidR="00DF1032" w:rsidRPr="001F1BD6">
        <w:t xml:space="preserve"> (rainbow trout)</w:t>
      </w:r>
      <w:r w:rsidR="00674B61">
        <w:t xml:space="preserve"> (96</w:t>
      </w:r>
      <w:r w:rsidR="00311D20">
        <w:t> </w:t>
      </w:r>
      <w:r w:rsidR="00674B61">
        <w:t>h LC50 of 41 </w:t>
      </w:r>
      <w:r w:rsidR="00674B61" w:rsidRPr="001F1BD6">
        <w:t>000</w:t>
      </w:r>
      <w:r w:rsidR="00674B61">
        <w:t> </w:t>
      </w:r>
      <w:r w:rsidR="00674B61" w:rsidRPr="001F1BD6">
        <w:t>µg/L</w:t>
      </w:r>
      <w:r w:rsidR="00674B61">
        <w:t>)</w:t>
      </w:r>
      <w:r w:rsidR="00FA3713">
        <w:t>.</w:t>
      </w:r>
      <w:r w:rsidR="00DF1032" w:rsidRPr="001F1BD6">
        <w:t xml:space="preserve"> </w:t>
      </w:r>
    </w:p>
    <w:p w14:paraId="4E042E6A" w14:textId="77777777" w:rsidR="0058147D" w:rsidRDefault="00F039DE" w:rsidP="0061783E">
      <w:pPr>
        <w:pStyle w:val="ListBullet"/>
      </w:pPr>
      <w:r w:rsidRPr="001F1BD6">
        <w:t>Acute studies</w:t>
      </w:r>
      <w:r>
        <w:t xml:space="preserve"> for</w:t>
      </w:r>
      <w:r w:rsidRPr="001F1BD6">
        <w:t xml:space="preserve"> </w:t>
      </w:r>
      <w:r w:rsidR="00CA2D2F" w:rsidRPr="001F1BD6">
        <w:t>two algae</w:t>
      </w:r>
      <w:r>
        <w:t xml:space="preserve"> (</w:t>
      </w:r>
      <w:r w:rsidRPr="001F1BD6">
        <w:t>Tubea et al. 1981</w:t>
      </w:r>
      <w:r>
        <w:t>):</w:t>
      </w:r>
    </w:p>
    <w:p w14:paraId="4E042E6B" w14:textId="77777777" w:rsidR="0058147D" w:rsidRDefault="00F039DE" w:rsidP="0058147D">
      <w:pPr>
        <w:pStyle w:val="ListBullet2"/>
      </w:pPr>
      <w:r w:rsidRPr="00231A13">
        <w:rPr>
          <w:rStyle w:val="Emphasis"/>
        </w:rPr>
        <w:t>Chlorella pyrenoidosa</w:t>
      </w:r>
      <w:r w:rsidRPr="001F1BD6">
        <w:t xml:space="preserve"> (</w:t>
      </w:r>
      <w:r w:rsidR="003F4A7D">
        <w:t>g</w:t>
      </w:r>
      <w:r w:rsidR="003F4A7D" w:rsidRPr="001F1BD6">
        <w:t xml:space="preserve">reen </w:t>
      </w:r>
      <w:r w:rsidRPr="001F1BD6">
        <w:t>alga)</w:t>
      </w:r>
      <w:r w:rsidR="00AD3CF0">
        <w:t xml:space="preserve"> (no effects up to 2</w:t>
      </w:r>
      <w:r w:rsidR="00311D20">
        <w:t> </w:t>
      </w:r>
      <w:r w:rsidR="00AD3CF0">
        <w:t>400</w:t>
      </w:r>
      <w:r w:rsidR="00311D20">
        <w:t> </w:t>
      </w:r>
      <w:r w:rsidR="00AD3CF0" w:rsidRPr="001F1BD6">
        <w:t>µg/L</w:t>
      </w:r>
      <w:r w:rsidR="00AD3CF0">
        <w:t>)</w:t>
      </w:r>
    </w:p>
    <w:p w14:paraId="4E042E6C" w14:textId="77777777" w:rsidR="0058147D" w:rsidRDefault="00F039DE" w:rsidP="0058147D">
      <w:pPr>
        <w:pStyle w:val="ListBullet2"/>
      </w:pPr>
      <w:r w:rsidRPr="00231A13">
        <w:rPr>
          <w:rStyle w:val="Emphasis"/>
        </w:rPr>
        <w:t>Lyngbya birgii</w:t>
      </w:r>
      <w:r w:rsidRPr="001F1BD6">
        <w:t xml:space="preserve"> (blue</w:t>
      </w:r>
      <w:r w:rsidR="00BC0741">
        <w:t>–</w:t>
      </w:r>
      <w:r w:rsidRPr="001F1BD6">
        <w:t>green alga)</w:t>
      </w:r>
      <w:r w:rsidR="00AD3CF0">
        <w:t xml:space="preserve"> (no effects up to 2</w:t>
      </w:r>
      <w:r w:rsidR="00311D20">
        <w:t> </w:t>
      </w:r>
      <w:r w:rsidR="00AD3CF0">
        <w:t>400</w:t>
      </w:r>
      <w:r w:rsidR="00311D20">
        <w:t> </w:t>
      </w:r>
      <w:r w:rsidR="00AD3CF0" w:rsidRPr="001F1BD6">
        <w:t>µg/L</w:t>
      </w:r>
      <w:r w:rsidR="00AD3CF0">
        <w:t>)</w:t>
      </w:r>
      <w:r>
        <w:t>.</w:t>
      </w:r>
      <w:r w:rsidR="00CA2D2F" w:rsidRPr="001F1BD6">
        <w:t xml:space="preserve"> </w:t>
      </w:r>
    </w:p>
    <w:p w14:paraId="4E042E6D" w14:textId="77777777" w:rsidR="0058147D" w:rsidRDefault="00F039DE" w:rsidP="0061783E">
      <w:pPr>
        <w:pStyle w:val="ListBullet"/>
      </w:pPr>
      <w:r w:rsidRPr="001F1BD6">
        <w:t>Acute stud</w:t>
      </w:r>
      <w:r>
        <w:t xml:space="preserve">y for </w:t>
      </w:r>
      <w:r w:rsidR="00CA2D2F" w:rsidRPr="001F1BD6">
        <w:t>a</w:t>
      </w:r>
      <w:r w:rsidR="001F1BD6" w:rsidRPr="001F1BD6">
        <w:t xml:space="preserve"> crustacean</w:t>
      </w:r>
      <w:r w:rsidR="00CA2D2F" w:rsidRPr="001F1BD6">
        <w:t xml:space="preserve"> </w:t>
      </w:r>
      <w:r>
        <w:t>(</w:t>
      </w:r>
      <w:r w:rsidRPr="001F1BD6">
        <w:t>Sanders 1969</w:t>
      </w:r>
      <w:r>
        <w:t>):</w:t>
      </w:r>
    </w:p>
    <w:p w14:paraId="4E042E6E" w14:textId="77777777" w:rsidR="0061783E" w:rsidRDefault="00F039DE" w:rsidP="0058147D">
      <w:pPr>
        <w:pStyle w:val="ListBullet2"/>
      </w:pPr>
      <w:r w:rsidRPr="00231A13">
        <w:rPr>
          <w:rStyle w:val="Emphasis"/>
        </w:rPr>
        <w:t>Gammarus</w:t>
      </w:r>
      <w:r w:rsidRPr="001F1BD6">
        <w:rPr>
          <w:i/>
        </w:rPr>
        <w:t xml:space="preserve"> </w:t>
      </w:r>
      <w:r w:rsidRPr="00231A13">
        <w:rPr>
          <w:rStyle w:val="Emphasis"/>
        </w:rPr>
        <w:t>lacustris</w:t>
      </w:r>
      <w:r w:rsidR="00AD3CF0">
        <w:rPr>
          <w:rStyle w:val="Emphasis"/>
          <w:i w:val="0"/>
          <w:iCs w:val="0"/>
        </w:rPr>
        <w:t xml:space="preserve"> (96</w:t>
      </w:r>
      <w:r w:rsidR="00311D20">
        <w:rPr>
          <w:rStyle w:val="Emphasis"/>
          <w:i w:val="0"/>
          <w:iCs w:val="0"/>
        </w:rPr>
        <w:t> </w:t>
      </w:r>
      <w:r w:rsidR="00AD3CF0">
        <w:rPr>
          <w:rStyle w:val="Emphasis"/>
          <w:i w:val="0"/>
          <w:iCs w:val="0"/>
        </w:rPr>
        <w:t>h LC50 of 27</w:t>
      </w:r>
      <w:r w:rsidR="00311D20">
        <w:rPr>
          <w:rStyle w:val="Emphasis"/>
          <w:i w:val="0"/>
          <w:iCs w:val="0"/>
        </w:rPr>
        <w:t> </w:t>
      </w:r>
      <w:r w:rsidR="00AD3CF0">
        <w:rPr>
          <w:rStyle w:val="Emphasis"/>
          <w:i w:val="0"/>
          <w:iCs w:val="0"/>
        </w:rPr>
        <w:t>000</w:t>
      </w:r>
      <w:r w:rsidR="00311D20">
        <w:t> </w:t>
      </w:r>
      <w:r w:rsidR="00AD3CF0" w:rsidRPr="001F1BD6">
        <w:t>µg/L</w:t>
      </w:r>
      <w:r w:rsidR="00AD3CF0">
        <w:t>)</w:t>
      </w:r>
      <w:r w:rsidR="00CA2D2F" w:rsidRPr="001F1BD6">
        <w:t xml:space="preserve">. </w:t>
      </w:r>
    </w:p>
    <w:p w14:paraId="4E042E6F" w14:textId="77777777" w:rsidR="00E15EE1" w:rsidRDefault="00F039DE" w:rsidP="00CA2D2F">
      <w:r w:rsidRPr="001F1BD6">
        <w:lastRenderedPageBreak/>
        <w:t>Additionally, some studies were excluded due to other factors</w:t>
      </w:r>
      <w:r w:rsidR="00452CBC">
        <w:t>, for example</w:t>
      </w:r>
      <w:r w:rsidR="00AD3CF0">
        <w:t xml:space="preserve"> (toxicity data not shown)</w:t>
      </w:r>
      <w:r w:rsidRPr="001F1BD6">
        <w:t>:</w:t>
      </w:r>
    </w:p>
    <w:p w14:paraId="4E042E70" w14:textId="77777777" w:rsidR="00FA3713" w:rsidRDefault="00F039DE" w:rsidP="00E15EE1">
      <w:pPr>
        <w:pStyle w:val="ListBullet"/>
      </w:pPr>
      <w:r w:rsidRPr="001F1BD6">
        <w:t>only one test concentration was used</w:t>
      </w:r>
      <w:r w:rsidR="006B23FD">
        <w:t>:</w:t>
      </w:r>
    </w:p>
    <w:p w14:paraId="4E042E71" w14:textId="77777777" w:rsidR="00FA3713" w:rsidRDefault="00F039DE" w:rsidP="00FA3713">
      <w:pPr>
        <w:pStyle w:val="ListBullet2"/>
      </w:pPr>
      <w:r w:rsidRPr="00231A13">
        <w:rPr>
          <w:rStyle w:val="Emphasis"/>
        </w:rPr>
        <w:t>Lemna minor</w:t>
      </w:r>
      <w:r>
        <w:t xml:space="preserve"> (</w:t>
      </w:r>
      <w:r w:rsidR="00452CBC">
        <w:t>duck</w:t>
      </w:r>
      <w:r>
        <w:t>weed) chronic growth (Peterson et al. 1994)</w:t>
      </w:r>
    </w:p>
    <w:p w14:paraId="4E042E72" w14:textId="77777777" w:rsidR="001049FE" w:rsidRDefault="00F039DE" w:rsidP="00FA3713">
      <w:pPr>
        <w:pStyle w:val="ListBullet2"/>
      </w:pPr>
      <w:r w:rsidRPr="00F32677">
        <w:rPr>
          <w:rStyle w:val="Emphasis"/>
        </w:rPr>
        <w:t>Oncorhynchus</w:t>
      </w:r>
      <w:r w:rsidR="002F5ABA" w:rsidRPr="00231A13">
        <w:rPr>
          <w:rStyle w:val="Emphasis"/>
        </w:rPr>
        <w:t xml:space="preserve"> </w:t>
      </w:r>
      <w:r w:rsidR="00CA2D2F" w:rsidRPr="00231A13">
        <w:rPr>
          <w:rStyle w:val="Emphasis"/>
        </w:rPr>
        <w:t>clarkii</w:t>
      </w:r>
      <w:r w:rsidR="00CA2D2F">
        <w:t xml:space="preserve"> (fish) acute survival (Woodward 1982) </w:t>
      </w:r>
    </w:p>
    <w:p w14:paraId="4E042E73" w14:textId="77777777" w:rsidR="00F32677" w:rsidRDefault="00F039DE" w:rsidP="00E15EE1">
      <w:pPr>
        <w:pStyle w:val="ListBullet"/>
      </w:pPr>
      <w:r>
        <w:t>the endpoints were acute NOEC</w:t>
      </w:r>
      <w:r w:rsidR="00FA3713">
        <w:t>s</w:t>
      </w:r>
      <w:r>
        <w:t>:</w:t>
      </w:r>
    </w:p>
    <w:p w14:paraId="4E042E74" w14:textId="77777777" w:rsidR="00F32677" w:rsidRDefault="00F039DE" w:rsidP="00F32677">
      <w:pPr>
        <w:pStyle w:val="ListBullet2"/>
      </w:pPr>
      <w:r w:rsidRPr="00231A13">
        <w:rPr>
          <w:rStyle w:val="Emphasis"/>
        </w:rPr>
        <w:t>Danio rerio</w:t>
      </w:r>
      <w:r>
        <w:t xml:space="preserve"> (zebrafish) acute survival (Stehr et al. 2009)</w:t>
      </w:r>
    </w:p>
    <w:p w14:paraId="4E042E75" w14:textId="77777777" w:rsidR="001049FE" w:rsidRDefault="00F039DE" w:rsidP="00F32677">
      <w:pPr>
        <w:pStyle w:val="ListBullet2"/>
      </w:pPr>
      <w:r w:rsidRPr="00F32677">
        <w:rPr>
          <w:rStyle w:val="Emphasis"/>
        </w:rPr>
        <w:t>Daphnia</w:t>
      </w:r>
      <w:r w:rsidR="002F5ABA" w:rsidRPr="00231A13">
        <w:rPr>
          <w:rStyle w:val="Emphasis"/>
        </w:rPr>
        <w:t xml:space="preserve"> </w:t>
      </w:r>
      <w:r w:rsidR="00CA2D2F" w:rsidRPr="00231A13">
        <w:rPr>
          <w:rStyle w:val="Emphasis"/>
        </w:rPr>
        <w:t>magna</w:t>
      </w:r>
      <w:r w:rsidR="00CA2D2F">
        <w:t xml:space="preserve"> (water flea) acute survival (Gersich et al. 1985)</w:t>
      </w:r>
    </w:p>
    <w:p w14:paraId="4E042E76" w14:textId="77777777" w:rsidR="007A230A" w:rsidRDefault="00F039DE" w:rsidP="00E15EE1">
      <w:pPr>
        <w:pStyle w:val="ListBullet"/>
      </w:pPr>
      <w:r>
        <w:t>effects were reported to be greater than the highest exposure concentration:</w:t>
      </w:r>
    </w:p>
    <w:p w14:paraId="4E042E77" w14:textId="77777777" w:rsidR="00CA2D2F" w:rsidRDefault="00F039DE" w:rsidP="007B0469">
      <w:pPr>
        <w:pStyle w:val="ListBullet2"/>
      </w:pPr>
      <w:r w:rsidRPr="00231A13">
        <w:rPr>
          <w:rStyle w:val="Emphasis"/>
        </w:rPr>
        <w:t>Pteronarcella</w:t>
      </w:r>
      <w:r>
        <w:t xml:space="preserve"> sp</w:t>
      </w:r>
      <w:r w:rsidR="00452CBC">
        <w:t>.</w:t>
      </w:r>
      <w:r>
        <w:t xml:space="preserve"> (insect) acute survival (</w:t>
      </w:r>
      <w:r w:rsidR="00D17866">
        <w:t xml:space="preserve">USEPA </w:t>
      </w:r>
      <w:r>
        <w:t>OPP 2019).</w:t>
      </w:r>
    </w:p>
    <w:p w14:paraId="4E042E78" w14:textId="77777777" w:rsidR="00CA2D2F" w:rsidRDefault="00F039DE" w:rsidP="00CA2D2F">
      <w:r w:rsidRPr="00B66EFC">
        <w:t xml:space="preserve">Where only one </w:t>
      </w:r>
      <w:r w:rsidR="006475A5" w:rsidRPr="00B66EFC">
        <w:t xml:space="preserve">toxicity value </w:t>
      </w:r>
      <w:r w:rsidRPr="00B66EFC">
        <w:t xml:space="preserve">was available for a species, that </w:t>
      </w:r>
      <w:r w:rsidR="006475A5" w:rsidRPr="00B66EFC">
        <w:t xml:space="preserve">value </w:t>
      </w:r>
      <w:r w:rsidRPr="00B66EFC">
        <w:t xml:space="preserve">was used </w:t>
      </w:r>
      <w:r w:rsidR="009A7244">
        <w:t>in the final dataset to be used for</w:t>
      </w:r>
      <w:r w:rsidRPr="00B66EFC">
        <w:t xml:space="preserve"> the </w:t>
      </w:r>
      <w:r w:rsidR="00E30A3D" w:rsidRPr="00B66EFC">
        <w:t>species sensitivity distribution (</w:t>
      </w:r>
      <w:r w:rsidRPr="00B66EFC">
        <w:t>SSD</w:t>
      </w:r>
      <w:r w:rsidR="00E30A3D" w:rsidRPr="00B66EFC">
        <w:t>)</w:t>
      </w:r>
      <w:r w:rsidRPr="00B66EFC">
        <w:t xml:space="preserve">. For species with more than one </w:t>
      </w:r>
      <w:r w:rsidR="006475A5" w:rsidRPr="00B66EFC">
        <w:t xml:space="preserve">toxicity value </w:t>
      </w:r>
      <w:r w:rsidRPr="00B66EFC">
        <w:t xml:space="preserve">available, the data </w:t>
      </w:r>
      <w:r w:rsidRPr="003458AC">
        <w:t xml:space="preserve">selected for the SSD was in accordance </w:t>
      </w:r>
      <w:r w:rsidR="00E30A3D" w:rsidRPr="003458AC">
        <w:t xml:space="preserve">with </w:t>
      </w:r>
      <w:r w:rsidRPr="003458AC">
        <w:t>Warne et al.</w:t>
      </w:r>
      <w:r w:rsidR="00F952B5" w:rsidRPr="003458AC">
        <w:rPr>
          <w:i/>
        </w:rPr>
        <w:t xml:space="preserve"> </w:t>
      </w:r>
      <w:r w:rsidR="00F952B5" w:rsidRPr="003458AC">
        <w:t>(</w:t>
      </w:r>
      <w:r w:rsidRPr="003458AC">
        <w:t>2018</w:t>
      </w:r>
      <w:r w:rsidR="00F952B5" w:rsidRPr="003458AC">
        <w:t>)</w:t>
      </w:r>
      <w:r w:rsidRPr="003458AC">
        <w:t>.</w:t>
      </w:r>
    </w:p>
    <w:p w14:paraId="4E042E79" w14:textId="77777777" w:rsidR="00542F9A" w:rsidRPr="00C03488" w:rsidRDefault="00F039DE" w:rsidP="005D54AD">
      <w:pPr>
        <w:rPr>
          <w:highlight w:val="yellow"/>
        </w:rPr>
      </w:pPr>
      <w:r>
        <w:t>P</w:t>
      </w:r>
      <w:r w:rsidR="00B66EFC" w:rsidRPr="003458AC">
        <w:t>icloram</w:t>
      </w:r>
      <w:r w:rsidR="00E30A3D" w:rsidRPr="003458AC">
        <w:t xml:space="preserve"> toxicity data for </w:t>
      </w:r>
      <w:r>
        <w:t>12</w:t>
      </w:r>
      <w:r w:rsidRPr="003458AC">
        <w:t xml:space="preserve"> </w:t>
      </w:r>
      <w:r w:rsidR="00F952B5" w:rsidRPr="003458AC">
        <w:t>species</w:t>
      </w:r>
      <w:r w:rsidRPr="003458AC">
        <w:t xml:space="preserve"> </w:t>
      </w:r>
      <w:r w:rsidR="00E30A3D" w:rsidRPr="003458AC">
        <w:t xml:space="preserve">from four taxonomic groups </w:t>
      </w:r>
      <w:r w:rsidRPr="003458AC">
        <w:t xml:space="preserve">were considered for the SSD. These species included: </w:t>
      </w:r>
      <w:r w:rsidR="003458AC" w:rsidRPr="003458AC">
        <w:t>two</w:t>
      </w:r>
      <w:r w:rsidRPr="003458AC">
        <w:t xml:space="preserve"> microalgae (</w:t>
      </w:r>
      <w:r w:rsidR="002F5ABA" w:rsidRPr="00231A13">
        <w:rPr>
          <w:rStyle w:val="Emphasis"/>
        </w:rPr>
        <w:t xml:space="preserve">C. </w:t>
      </w:r>
      <w:r w:rsidR="003458AC" w:rsidRPr="00231A13">
        <w:rPr>
          <w:rStyle w:val="Emphasis"/>
        </w:rPr>
        <w:t>vulgaris</w:t>
      </w:r>
      <w:r w:rsidR="003458AC" w:rsidRPr="003458AC">
        <w:t xml:space="preserve"> and </w:t>
      </w:r>
      <w:r w:rsidR="002F5ABA" w:rsidRPr="00231A13">
        <w:rPr>
          <w:rStyle w:val="Emphasis"/>
        </w:rPr>
        <w:t xml:space="preserve">R. </w:t>
      </w:r>
      <w:r w:rsidR="00727295" w:rsidRPr="00231A13">
        <w:rPr>
          <w:rStyle w:val="Emphasis"/>
        </w:rPr>
        <w:t>subcapitata</w:t>
      </w:r>
      <w:r w:rsidR="00727295" w:rsidRPr="003458AC">
        <w:t>)</w:t>
      </w:r>
      <w:r w:rsidRPr="003458AC">
        <w:t xml:space="preserve">, </w:t>
      </w:r>
      <w:r w:rsidR="003458AC" w:rsidRPr="003458AC">
        <w:t>three</w:t>
      </w:r>
      <w:r w:rsidRPr="003458AC">
        <w:t xml:space="preserve"> </w:t>
      </w:r>
      <w:r w:rsidR="00E30A3D" w:rsidRPr="003458AC">
        <w:t>crustacean</w:t>
      </w:r>
      <w:r w:rsidR="003458AC" w:rsidRPr="003458AC">
        <w:t>s</w:t>
      </w:r>
      <w:r w:rsidRPr="003458AC">
        <w:t xml:space="preserve"> (</w:t>
      </w:r>
      <w:r w:rsidR="002F5ABA" w:rsidRPr="00231A13">
        <w:rPr>
          <w:rStyle w:val="Emphasis"/>
        </w:rPr>
        <w:t xml:space="preserve">D. </w:t>
      </w:r>
      <w:r w:rsidRPr="00231A13">
        <w:rPr>
          <w:rStyle w:val="Emphasis"/>
        </w:rPr>
        <w:t>magna</w:t>
      </w:r>
      <w:r w:rsidR="003458AC" w:rsidRPr="003458AC">
        <w:rPr>
          <w:i/>
        </w:rPr>
        <w:t xml:space="preserve">, </w:t>
      </w:r>
      <w:r w:rsidR="002F5ABA" w:rsidRPr="00231A13">
        <w:rPr>
          <w:rStyle w:val="Emphasis"/>
        </w:rPr>
        <w:t>G.</w:t>
      </w:r>
      <w:r w:rsidR="00602797">
        <w:rPr>
          <w:rStyle w:val="Emphasis"/>
        </w:rPr>
        <w:t> </w:t>
      </w:r>
      <w:r w:rsidR="003458AC" w:rsidRPr="00231A13">
        <w:rPr>
          <w:rStyle w:val="Emphasis"/>
        </w:rPr>
        <w:t>pseudolimnaeus</w:t>
      </w:r>
      <w:r w:rsidR="003458AC" w:rsidRPr="003458AC">
        <w:rPr>
          <w:i/>
        </w:rPr>
        <w:t xml:space="preserve"> </w:t>
      </w:r>
      <w:r w:rsidR="003458AC" w:rsidRPr="003F3EE4">
        <w:rPr>
          <w:iCs/>
        </w:rPr>
        <w:t>and</w:t>
      </w:r>
      <w:r w:rsidR="003458AC" w:rsidRPr="003458AC">
        <w:rPr>
          <w:i/>
        </w:rPr>
        <w:t xml:space="preserve"> </w:t>
      </w:r>
      <w:r w:rsidR="003458AC" w:rsidRPr="00231A13">
        <w:rPr>
          <w:rStyle w:val="Emphasis"/>
        </w:rPr>
        <w:t>G. fasciatus</w:t>
      </w:r>
      <w:r w:rsidR="00750F4C" w:rsidRPr="003458AC">
        <w:t>)</w:t>
      </w:r>
      <w:r w:rsidR="00AA6B4A" w:rsidRPr="003458AC">
        <w:t>, one insect (</w:t>
      </w:r>
      <w:r w:rsidR="003458AC" w:rsidRPr="00231A13">
        <w:rPr>
          <w:rStyle w:val="Emphasis"/>
        </w:rPr>
        <w:t>P</w:t>
      </w:r>
      <w:r w:rsidR="002F5ABA" w:rsidRPr="00231A13">
        <w:rPr>
          <w:rStyle w:val="Emphasis"/>
        </w:rPr>
        <w:t>.</w:t>
      </w:r>
      <w:r w:rsidR="003458AC" w:rsidRPr="00231A13">
        <w:rPr>
          <w:rStyle w:val="Emphasis"/>
        </w:rPr>
        <w:t xml:space="preserve"> californica</w:t>
      </w:r>
      <w:r w:rsidRPr="003458AC">
        <w:t xml:space="preserve">), and </w:t>
      </w:r>
      <w:r w:rsidR="003458AC" w:rsidRPr="003458AC">
        <w:t>six</w:t>
      </w:r>
      <w:r w:rsidR="00A63269" w:rsidRPr="003458AC">
        <w:t xml:space="preserve"> </w:t>
      </w:r>
      <w:r w:rsidRPr="003458AC">
        <w:t>fish (</w:t>
      </w:r>
      <w:r w:rsidR="002F5ABA" w:rsidRPr="00231A13">
        <w:rPr>
          <w:rStyle w:val="Emphasis"/>
        </w:rPr>
        <w:t xml:space="preserve">I. </w:t>
      </w:r>
      <w:r w:rsidR="003458AC" w:rsidRPr="00231A13">
        <w:rPr>
          <w:rStyle w:val="Emphasis"/>
        </w:rPr>
        <w:t>punctatus</w:t>
      </w:r>
      <w:r w:rsidR="003458AC" w:rsidRPr="003458AC">
        <w:t xml:space="preserve">, </w:t>
      </w:r>
      <w:r w:rsidR="002F5ABA" w:rsidRPr="00231A13">
        <w:rPr>
          <w:rStyle w:val="Emphasis"/>
        </w:rPr>
        <w:t xml:space="preserve">O. </w:t>
      </w:r>
      <w:r w:rsidR="003458AC" w:rsidRPr="00231A13">
        <w:rPr>
          <w:rStyle w:val="Emphasis"/>
        </w:rPr>
        <w:t>mykiss</w:t>
      </w:r>
      <w:r w:rsidR="003458AC" w:rsidRPr="003458AC">
        <w:t xml:space="preserve">, </w:t>
      </w:r>
      <w:r w:rsidR="002F5ABA" w:rsidRPr="00231A13">
        <w:rPr>
          <w:rStyle w:val="Emphasis"/>
        </w:rPr>
        <w:t>S.</w:t>
      </w:r>
      <w:r w:rsidR="00602797">
        <w:rPr>
          <w:rStyle w:val="Emphasis"/>
        </w:rPr>
        <w:t> </w:t>
      </w:r>
      <w:r w:rsidR="003458AC" w:rsidRPr="00231A13">
        <w:rPr>
          <w:rStyle w:val="Emphasis"/>
        </w:rPr>
        <w:t>namaycush</w:t>
      </w:r>
      <w:r w:rsidR="003458AC" w:rsidRPr="003458AC">
        <w:t xml:space="preserve">, </w:t>
      </w:r>
      <w:r w:rsidR="002F5ABA" w:rsidRPr="00231A13">
        <w:rPr>
          <w:rStyle w:val="Emphasis"/>
        </w:rPr>
        <w:t xml:space="preserve">O. </w:t>
      </w:r>
      <w:r w:rsidR="003458AC" w:rsidRPr="00231A13">
        <w:rPr>
          <w:rStyle w:val="Emphasis"/>
        </w:rPr>
        <w:t>clarkii</w:t>
      </w:r>
      <w:r w:rsidR="003458AC" w:rsidRPr="003458AC">
        <w:t xml:space="preserve">, </w:t>
      </w:r>
      <w:r w:rsidR="002F5ABA" w:rsidRPr="00231A13">
        <w:rPr>
          <w:rStyle w:val="Emphasis"/>
        </w:rPr>
        <w:t xml:space="preserve">L. </w:t>
      </w:r>
      <w:r w:rsidR="003458AC" w:rsidRPr="00231A13">
        <w:rPr>
          <w:rStyle w:val="Emphasis"/>
        </w:rPr>
        <w:t>macrochirus</w:t>
      </w:r>
      <w:r w:rsidR="003458AC" w:rsidRPr="003458AC">
        <w:t xml:space="preserve"> and </w:t>
      </w:r>
      <w:r w:rsidR="002F5ABA" w:rsidRPr="00231A13">
        <w:rPr>
          <w:rStyle w:val="Emphasis"/>
        </w:rPr>
        <w:t xml:space="preserve">P. </w:t>
      </w:r>
      <w:r w:rsidR="005557FF" w:rsidRPr="00231A13">
        <w:rPr>
          <w:rStyle w:val="Emphasis"/>
        </w:rPr>
        <w:t>promelas</w:t>
      </w:r>
      <w:r w:rsidR="005557FF" w:rsidRPr="003458AC">
        <w:t xml:space="preserve">). </w:t>
      </w:r>
      <w:r w:rsidR="00C62C23" w:rsidRPr="003458AC">
        <w:t xml:space="preserve">Of the toxicity data used for the </w:t>
      </w:r>
      <w:r w:rsidR="00366250">
        <w:t>12</w:t>
      </w:r>
      <w:r w:rsidR="00602797">
        <w:t> </w:t>
      </w:r>
      <w:r w:rsidR="00C62C23" w:rsidRPr="003458AC">
        <w:t xml:space="preserve">species, </w:t>
      </w:r>
      <w:r w:rsidR="003458AC" w:rsidRPr="003458AC">
        <w:t>four</w:t>
      </w:r>
      <w:r w:rsidR="00C62C23" w:rsidRPr="003458AC">
        <w:t xml:space="preserve"> were </w:t>
      </w:r>
      <w:r w:rsidR="00C5394A">
        <w:t xml:space="preserve">chronic </w:t>
      </w:r>
      <w:r w:rsidR="002207DF" w:rsidRPr="003458AC">
        <w:t>NOEC values</w:t>
      </w:r>
      <w:r w:rsidR="00C62C23" w:rsidRPr="003458AC">
        <w:t xml:space="preserve">, and </w:t>
      </w:r>
      <w:r w:rsidR="003458AC" w:rsidRPr="003458AC">
        <w:t>eight</w:t>
      </w:r>
      <w:r w:rsidR="00A63269" w:rsidRPr="003458AC">
        <w:t xml:space="preserve"> </w:t>
      </w:r>
      <w:r w:rsidR="00673F15" w:rsidRPr="003458AC">
        <w:t>w</w:t>
      </w:r>
      <w:r w:rsidR="003458AC" w:rsidRPr="003458AC">
        <w:t>ere</w:t>
      </w:r>
      <w:r w:rsidR="00673F15" w:rsidRPr="003458AC">
        <w:t xml:space="preserve"> </w:t>
      </w:r>
      <w:r w:rsidR="003458AC" w:rsidRPr="003458AC">
        <w:t>from acute exposures. The eight acute exposures were all LC50</w:t>
      </w:r>
      <w:r w:rsidR="00A63269" w:rsidRPr="003458AC">
        <w:t xml:space="preserve"> value</w:t>
      </w:r>
      <w:r w:rsidR="003458AC" w:rsidRPr="003458AC">
        <w:t xml:space="preserve">s that were converted to chronic </w:t>
      </w:r>
      <w:r w:rsidR="0012362E">
        <w:t xml:space="preserve">negligible effect </w:t>
      </w:r>
      <w:r w:rsidR="003458AC" w:rsidRPr="003458AC">
        <w:t xml:space="preserve">values using </w:t>
      </w:r>
      <w:r w:rsidR="009B321C">
        <w:t>a</w:t>
      </w:r>
      <w:r w:rsidR="009B321C" w:rsidRPr="003458AC">
        <w:t xml:space="preserve"> </w:t>
      </w:r>
      <w:r w:rsidR="003458AC" w:rsidRPr="003458AC">
        <w:t>default acute</w:t>
      </w:r>
      <w:r w:rsidR="0027707E">
        <w:t>-</w:t>
      </w:r>
      <w:r w:rsidR="003458AC" w:rsidRPr="003458AC">
        <w:t>to</w:t>
      </w:r>
      <w:r w:rsidR="0027707E">
        <w:t>-</w:t>
      </w:r>
      <w:r w:rsidR="003458AC" w:rsidRPr="003458AC">
        <w:t>chronic ratio of 10</w:t>
      </w:r>
      <w:r w:rsidR="009B321C">
        <w:t xml:space="preserve"> (Warne et al. 2018)</w:t>
      </w:r>
      <w:r w:rsidR="003458AC" w:rsidRPr="003458AC">
        <w:t xml:space="preserve">. </w:t>
      </w:r>
    </w:p>
    <w:p w14:paraId="4E042E7A" w14:textId="004FB77C" w:rsidR="00167FF3" w:rsidRPr="003458AC" w:rsidRDefault="00F039DE" w:rsidP="00542F9A">
      <w:pPr>
        <w:spacing w:before="240"/>
        <w:rPr>
          <w:rFonts w:cs="Arial"/>
        </w:rPr>
      </w:pPr>
      <w:r w:rsidRPr="003458AC">
        <w:t>Modality checks were performed according to the four questions stipulated in Warne</w:t>
      </w:r>
      <w:r w:rsidRPr="003458AC">
        <w:rPr>
          <w:i/>
        </w:rPr>
        <w:t xml:space="preserve"> </w:t>
      </w:r>
      <w:r w:rsidRPr="003458AC">
        <w:t>et al</w:t>
      </w:r>
      <w:r w:rsidRPr="003458AC">
        <w:rPr>
          <w:i/>
        </w:rPr>
        <w:t>.</w:t>
      </w:r>
      <w:r w:rsidRPr="003458AC">
        <w:t xml:space="preserve"> </w:t>
      </w:r>
      <w:r w:rsidR="00C62C23" w:rsidRPr="003458AC">
        <w:t>(</w:t>
      </w:r>
      <w:r w:rsidRPr="003458AC">
        <w:t>2018</w:t>
      </w:r>
      <w:r w:rsidR="00C62C23" w:rsidRPr="003458AC">
        <w:t xml:space="preserve">), with the details of the assessment provided in </w:t>
      </w:r>
      <w:r w:rsidR="000173C9">
        <w:fldChar w:fldCharType="begin"/>
      </w:r>
      <w:r w:rsidR="000173C9">
        <w:instrText xml:space="preserve"> REF _Ref80692833 \h </w:instrText>
      </w:r>
      <w:r w:rsidR="000173C9">
        <w:fldChar w:fldCharType="separate"/>
      </w:r>
      <w:r w:rsidR="006700C9" w:rsidRPr="009B0059">
        <w:t>Appendix</w:t>
      </w:r>
      <w:r w:rsidR="006700C9">
        <w:t> </w:t>
      </w:r>
      <w:r w:rsidR="006700C9" w:rsidRPr="009B0059">
        <w:t xml:space="preserve">B: Modality assessment for </w:t>
      </w:r>
      <w:r w:rsidR="006700C9">
        <w:t>Picloram</w:t>
      </w:r>
      <w:r w:rsidR="000173C9">
        <w:fldChar w:fldCharType="end"/>
      </w:r>
      <w:r w:rsidR="003C5E11" w:rsidRPr="003458AC">
        <w:t>.</w:t>
      </w:r>
      <w:r w:rsidR="004D64F0" w:rsidRPr="003458AC">
        <w:t xml:space="preserve"> </w:t>
      </w:r>
      <w:r w:rsidR="004D64F0" w:rsidRPr="003458AC">
        <w:rPr>
          <w:rFonts w:cs="Arial"/>
        </w:rPr>
        <w:t>The weight of evidence assessment concluded that the dataset did not exhibit bi</w:t>
      </w:r>
      <w:r w:rsidR="00366250">
        <w:rPr>
          <w:rFonts w:cs="Arial"/>
        </w:rPr>
        <w:t>modality</w:t>
      </w:r>
      <w:r w:rsidR="004D64F0" w:rsidRPr="003458AC">
        <w:rPr>
          <w:rFonts w:cs="Arial"/>
        </w:rPr>
        <w:t xml:space="preserve"> or multimodality and, hence, supported use of the data for </w:t>
      </w:r>
      <w:r w:rsidR="00B74744">
        <w:rPr>
          <w:rFonts w:cs="Arial"/>
        </w:rPr>
        <w:t xml:space="preserve">the </w:t>
      </w:r>
      <w:r w:rsidR="00366250">
        <w:rPr>
          <w:rFonts w:cs="Arial"/>
        </w:rPr>
        <w:t>12</w:t>
      </w:r>
      <w:r w:rsidR="002400FD">
        <w:rPr>
          <w:rFonts w:cs="Arial"/>
        </w:rPr>
        <w:t> </w:t>
      </w:r>
      <w:r w:rsidR="004D64F0" w:rsidRPr="003458AC">
        <w:rPr>
          <w:rFonts w:cs="Arial"/>
        </w:rPr>
        <w:t>species for</w:t>
      </w:r>
      <w:r w:rsidR="00366250">
        <w:rPr>
          <w:rFonts w:cs="Arial"/>
        </w:rPr>
        <w:t xml:space="preserve"> the DGV</w:t>
      </w:r>
      <w:r w:rsidR="004D64F0" w:rsidRPr="003458AC">
        <w:rPr>
          <w:rFonts w:cs="Arial"/>
        </w:rPr>
        <w:t xml:space="preserve"> derivation.</w:t>
      </w:r>
    </w:p>
    <w:p w14:paraId="4E042E7B" w14:textId="3FEAB35C" w:rsidR="00167FF3" w:rsidRPr="003458AC" w:rsidRDefault="00F039DE" w:rsidP="00C24278">
      <w:pPr>
        <w:pStyle w:val="Caption"/>
      </w:pPr>
      <w:bookmarkStart w:id="11" w:name="_Ref80542641"/>
      <w:bookmarkStart w:id="12" w:name="_Toc80543143"/>
      <w:r>
        <w:t>Table </w:t>
      </w:r>
      <w:r w:rsidR="006F6974">
        <w:fldChar w:fldCharType="begin"/>
      </w:r>
      <w:r>
        <w:instrText xml:space="preserve"> SEQ Table \* ARABIC </w:instrText>
      </w:r>
      <w:r w:rsidR="006F6974">
        <w:fldChar w:fldCharType="separate"/>
      </w:r>
      <w:r w:rsidR="006700C9">
        <w:rPr>
          <w:noProof/>
        </w:rPr>
        <w:t>1</w:t>
      </w:r>
      <w:r w:rsidR="006F6974">
        <w:rPr>
          <w:noProof/>
        </w:rPr>
        <w:fldChar w:fldCharType="end"/>
      </w:r>
      <w:bookmarkEnd w:id="11"/>
      <w:r>
        <w:t xml:space="preserve"> </w:t>
      </w:r>
      <w:r w:rsidRPr="003458AC">
        <w:t xml:space="preserve">Summary of </w:t>
      </w:r>
      <w:r w:rsidR="00145EE3">
        <w:t>single</w:t>
      </w:r>
      <w:r w:rsidR="003458AC" w:rsidRPr="003458AC">
        <w:t xml:space="preserve"> </w:t>
      </w:r>
      <w:r w:rsidRPr="003458AC">
        <w:t>toxicity values</w:t>
      </w:r>
      <w:r w:rsidR="00B74744">
        <w:t>, all species</w:t>
      </w:r>
      <w:r w:rsidRPr="003458AC">
        <w:t xml:space="preserve"> used to derive default guideline values for </w:t>
      </w:r>
      <w:r w:rsidR="003458AC" w:rsidRPr="003458AC">
        <w:t>picloram</w:t>
      </w:r>
      <w:r w:rsidR="00B74744">
        <w:t xml:space="preserve"> in freshwater</w:t>
      </w:r>
      <w:bookmarkEnd w:id="12"/>
    </w:p>
    <w:tbl>
      <w:tblPr>
        <w:tblW w:w="5000" w:type="pct"/>
        <w:tblBorders>
          <w:top w:val="single" w:sz="4" w:space="0" w:color="auto"/>
          <w:bottom w:val="single" w:sz="4" w:space="0" w:color="auto"/>
        </w:tblBorders>
        <w:tblLayout w:type="fixed"/>
        <w:tblLook w:val="04A0" w:firstRow="1" w:lastRow="0" w:firstColumn="1" w:lastColumn="0" w:noHBand="0" w:noVBand="1"/>
        <w:tblCaption w:val="Summary of single toxicity values, all species used to derive the default guideline values for picloram in freshwater"/>
        <w:tblDescription w:val="Table provides a list of the species used to derive the picloram default guideline values with additional details such as taxonomic group, life stage, duration of test (hour), type (acute/chronic), toxicity measure, toxicity value (microgram per litre) and estimated chronic value (microgram per litre)."/>
      </w:tblPr>
      <w:tblGrid>
        <w:gridCol w:w="1134"/>
        <w:gridCol w:w="1985"/>
        <w:gridCol w:w="992"/>
        <w:gridCol w:w="992"/>
        <w:gridCol w:w="853"/>
        <w:gridCol w:w="990"/>
        <w:gridCol w:w="992"/>
        <w:gridCol w:w="1132"/>
      </w:tblGrid>
      <w:tr w:rsidR="00690C51" w14:paraId="4E042E84" w14:textId="77777777" w:rsidTr="000F30B2">
        <w:trPr>
          <w:cantSplit/>
          <w:tblHeader/>
        </w:trPr>
        <w:tc>
          <w:tcPr>
            <w:tcW w:w="625" w:type="pct"/>
            <w:tcBorders>
              <w:top w:val="single" w:sz="12" w:space="0" w:color="auto"/>
              <w:bottom w:val="single" w:sz="12" w:space="0" w:color="auto"/>
            </w:tcBorders>
            <w:shd w:val="clear" w:color="auto" w:fill="auto"/>
          </w:tcPr>
          <w:p w14:paraId="4E042E7C" w14:textId="77777777" w:rsidR="00167FF3" w:rsidRPr="003458AC" w:rsidRDefault="00F039DE" w:rsidP="00873B69">
            <w:pPr>
              <w:pStyle w:val="TableHeading"/>
            </w:pPr>
            <w:bookmarkStart w:id="13" w:name="_Hlk22760508"/>
            <w:r w:rsidRPr="003458AC">
              <w:t>Taxonomic group</w:t>
            </w:r>
          </w:p>
        </w:tc>
        <w:tc>
          <w:tcPr>
            <w:tcW w:w="1094" w:type="pct"/>
            <w:tcBorders>
              <w:top w:val="single" w:sz="12" w:space="0" w:color="auto"/>
              <w:bottom w:val="single" w:sz="12" w:space="0" w:color="auto"/>
              <w:right w:val="nil"/>
            </w:tcBorders>
            <w:shd w:val="clear" w:color="auto" w:fill="auto"/>
          </w:tcPr>
          <w:p w14:paraId="4E042E7D" w14:textId="77777777" w:rsidR="00167FF3" w:rsidRPr="003458AC" w:rsidRDefault="00F039DE" w:rsidP="00873B69">
            <w:pPr>
              <w:pStyle w:val="TableHeading"/>
            </w:pPr>
            <w:r w:rsidRPr="003458AC">
              <w:t>Species</w:t>
            </w:r>
          </w:p>
        </w:tc>
        <w:tc>
          <w:tcPr>
            <w:tcW w:w="547" w:type="pct"/>
            <w:tcBorders>
              <w:top w:val="single" w:sz="12" w:space="0" w:color="auto"/>
              <w:left w:val="nil"/>
              <w:bottom w:val="single" w:sz="12" w:space="0" w:color="auto"/>
            </w:tcBorders>
            <w:shd w:val="clear" w:color="auto" w:fill="auto"/>
          </w:tcPr>
          <w:p w14:paraId="4E042E7E" w14:textId="77777777" w:rsidR="00167FF3" w:rsidRPr="003458AC" w:rsidRDefault="00F039DE" w:rsidP="00873B69">
            <w:pPr>
              <w:pStyle w:val="TableHeading"/>
            </w:pPr>
            <w:r w:rsidRPr="003458AC">
              <w:t>Life stage</w:t>
            </w:r>
          </w:p>
        </w:tc>
        <w:tc>
          <w:tcPr>
            <w:tcW w:w="547" w:type="pct"/>
            <w:tcBorders>
              <w:top w:val="single" w:sz="12" w:space="0" w:color="auto"/>
              <w:bottom w:val="single" w:sz="12" w:space="0" w:color="auto"/>
            </w:tcBorders>
            <w:shd w:val="clear" w:color="auto" w:fill="auto"/>
          </w:tcPr>
          <w:p w14:paraId="4E042E7F" w14:textId="77777777" w:rsidR="00167FF3" w:rsidRPr="003458AC" w:rsidRDefault="00F039DE" w:rsidP="00873B69">
            <w:pPr>
              <w:pStyle w:val="TableHeading"/>
            </w:pPr>
            <w:r w:rsidRPr="003458AC">
              <w:t>Duration (h)</w:t>
            </w:r>
          </w:p>
        </w:tc>
        <w:tc>
          <w:tcPr>
            <w:tcW w:w="470" w:type="pct"/>
            <w:tcBorders>
              <w:top w:val="single" w:sz="12" w:space="0" w:color="auto"/>
              <w:bottom w:val="single" w:sz="12" w:space="0" w:color="auto"/>
            </w:tcBorders>
            <w:shd w:val="clear" w:color="auto" w:fill="auto"/>
          </w:tcPr>
          <w:p w14:paraId="4E042E80" w14:textId="77777777" w:rsidR="00167FF3" w:rsidRPr="003458AC" w:rsidRDefault="00F039DE" w:rsidP="00873B69">
            <w:pPr>
              <w:pStyle w:val="TableHeading"/>
            </w:pPr>
            <w:r w:rsidRPr="003458AC">
              <w:t>Type (acute/</w:t>
            </w:r>
            <w:r w:rsidRPr="003458AC">
              <w:br/>
              <w:t>chronic)</w:t>
            </w:r>
          </w:p>
        </w:tc>
        <w:tc>
          <w:tcPr>
            <w:tcW w:w="546" w:type="pct"/>
            <w:tcBorders>
              <w:top w:val="single" w:sz="12" w:space="0" w:color="auto"/>
              <w:bottom w:val="single" w:sz="12" w:space="0" w:color="auto"/>
            </w:tcBorders>
            <w:shd w:val="clear" w:color="auto" w:fill="auto"/>
          </w:tcPr>
          <w:p w14:paraId="4E042E81" w14:textId="77777777" w:rsidR="00167FF3" w:rsidRPr="003458AC" w:rsidRDefault="00F039DE" w:rsidP="00873B69">
            <w:pPr>
              <w:pStyle w:val="TableHeading"/>
            </w:pPr>
            <w:r w:rsidRPr="003458AC">
              <w:t>Toxicity measure</w:t>
            </w:r>
            <w:r w:rsidR="00B74744" w:rsidRPr="00B74744">
              <w:rPr>
                <w:vertAlign w:val="superscript"/>
              </w:rPr>
              <w:t> </w:t>
            </w:r>
            <w:r w:rsidR="00B74744" w:rsidRPr="00B74744">
              <w:rPr>
                <w:rStyle w:val="Strong"/>
                <w:vertAlign w:val="superscript"/>
              </w:rPr>
              <w:t>a</w:t>
            </w:r>
          </w:p>
        </w:tc>
        <w:tc>
          <w:tcPr>
            <w:tcW w:w="547" w:type="pct"/>
            <w:tcBorders>
              <w:top w:val="single" w:sz="12" w:space="0" w:color="auto"/>
              <w:bottom w:val="single" w:sz="12" w:space="0" w:color="auto"/>
            </w:tcBorders>
            <w:shd w:val="clear" w:color="auto" w:fill="auto"/>
          </w:tcPr>
          <w:p w14:paraId="4E042E82" w14:textId="77777777" w:rsidR="00167FF3" w:rsidRPr="003458AC" w:rsidRDefault="00F039DE" w:rsidP="00873B69">
            <w:pPr>
              <w:pStyle w:val="TableHeading"/>
            </w:pPr>
            <w:r w:rsidRPr="003458AC">
              <w:t>Toxicity value (</w:t>
            </w:r>
            <w:r w:rsidRPr="003458AC">
              <w:rPr>
                <w:rFonts w:ascii="Corbel" w:hAnsi="Corbel"/>
              </w:rPr>
              <w:t>µ</w:t>
            </w:r>
            <w:r w:rsidRPr="003458AC">
              <w:t>g/L)</w:t>
            </w:r>
          </w:p>
        </w:tc>
        <w:tc>
          <w:tcPr>
            <w:tcW w:w="624" w:type="pct"/>
            <w:tcBorders>
              <w:top w:val="single" w:sz="12" w:space="0" w:color="auto"/>
              <w:bottom w:val="single" w:sz="12" w:space="0" w:color="auto"/>
            </w:tcBorders>
            <w:shd w:val="clear" w:color="auto" w:fill="auto"/>
          </w:tcPr>
          <w:p w14:paraId="4E042E83" w14:textId="77777777" w:rsidR="00167FF3" w:rsidRPr="003458AC" w:rsidRDefault="00F039DE" w:rsidP="00873B69">
            <w:pPr>
              <w:pStyle w:val="TableHeading"/>
            </w:pPr>
            <w:r w:rsidRPr="003458AC">
              <w:t>Estimated chronic value (</w:t>
            </w:r>
            <w:r w:rsidRPr="003458AC">
              <w:rPr>
                <w:rFonts w:ascii="Corbel" w:hAnsi="Corbel"/>
              </w:rPr>
              <w:t>µ</w:t>
            </w:r>
            <w:r w:rsidRPr="003458AC">
              <w:t>g/L)</w:t>
            </w:r>
          </w:p>
        </w:tc>
      </w:tr>
      <w:tr w:rsidR="00690C51" w14:paraId="4E042E8D" w14:textId="77777777" w:rsidTr="000F30B2">
        <w:trPr>
          <w:cantSplit/>
        </w:trPr>
        <w:tc>
          <w:tcPr>
            <w:tcW w:w="625" w:type="pct"/>
            <w:vMerge w:val="restart"/>
            <w:tcBorders>
              <w:top w:val="single" w:sz="12" w:space="0" w:color="auto"/>
            </w:tcBorders>
            <w:shd w:val="clear" w:color="auto" w:fill="auto"/>
          </w:tcPr>
          <w:p w14:paraId="4E042E85" w14:textId="77777777" w:rsidR="00873B69" w:rsidRPr="00E2049A" w:rsidRDefault="00F039DE" w:rsidP="00873B69">
            <w:pPr>
              <w:pStyle w:val="TableText"/>
            </w:pPr>
            <w:r w:rsidRPr="00E2049A">
              <w:t>Microalga</w:t>
            </w:r>
          </w:p>
        </w:tc>
        <w:tc>
          <w:tcPr>
            <w:tcW w:w="1094" w:type="pct"/>
            <w:tcBorders>
              <w:top w:val="single" w:sz="12" w:space="0" w:color="auto"/>
              <w:bottom w:val="single" w:sz="4" w:space="0" w:color="auto"/>
            </w:tcBorders>
            <w:shd w:val="clear" w:color="auto" w:fill="auto"/>
          </w:tcPr>
          <w:p w14:paraId="4E042E86" w14:textId="77777777" w:rsidR="00873B69" w:rsidRPr="00A27D29" w:rsidRDefault="00F039DE" w:rsidP="00873B69">
            <w:pPr>
              <w:pStyle w:val="TableText"/>
              <w:rPr>
                <w:rStyle w:val="Emphasis"/>
              </w:rPr>
            </w:pPr>
            <w:r w:rsidRPr="00A27D29">
              <w:rPr>
                <w:rStyle w:val="Emphasis"/>
              </w:rPr>
              <w:t>Rhapidocelis subcapitata</w:t>
            </w:r>
          </w:p>
        </w:tc>
        <w:tc>
          <w:tcPr>
            <w:tcW w:w="547" w:type="pct"/>
            <w:tcBorders>
              <w:top w:val="single" w:sz="12" w:space="0" w:color="auto"/>
              <w:bottom w:val="single" w:sz="4" w:space="0" w:color="auto"/>
            </w:tcBorders>
            <w:shd w:val="clear" w:color="auto" w:fill="auto"/>
          </w:tcPr>
          <w:p w14:paraId="4E042E87" w14:textId="77777777" w:rsidR="00873B69" w:rsidRPr="00E2049A" w:rsidRDefault="00F039DE" w:rsidP="00873B69">
            <w:pPr>
              <w:pStyle w:val="TableText"/>
            </w:pPr>
            <w:r>
              <w:t>–</w:t>
            </w:r>
          </w:p>
        </w:tc>
        <w:tc>
          <w:tcPr>
            <w:tcW w:w="547" w:type="pct"/>
            <w:tcBorders>
              <w:top w:val="single" w:sz="12" w:space="0" w:color="auto"/>
              <w:bottom w:val="single" w:sz="4" w:space="0" w:color="auto"/>
            </w:tcBorders>
            <w:shd w:val="clear" w:color="auto" w:fill="auto"/>
          </w:tcPr>
          <w:p w14:paraId="4E042E88" w14:textId="77777777" w:rsidR="00873B69" w:rsidRPr="00E2049A" w:rsidRDefault="00F039DE" w:rsidP="00873B69">
            <w:pPr>
              <w:pStyle w:val="TableText"/>
            </w:pPr>
            <w:r w:rsidRPr="00E2049A">
              <w:t>96</w:t>
            </w:r>
          </w:p>
        </w:tc>
        <w:tc>
          <w:tcPr>
            <w:tcW w:w="470" w:type="pct"/>
            <w:tcBorders>
              <w:top w:val="single" w:sz="12" w:space="0" w:color="auto"/>
              <w:bottom w:val="single" w:sz="4" w:space="0" w:color="auto"/>
            </w:tcBorders>
            <w:shd w:val="clear" w:color="auto" w:fill="auto"/>
          </w:tcPr>
          <w:p w14:paraId="4E042E89" w14:textId="77777777" w:rsidR="00873B69" w:rsidRPr="00E2049A" w:rsidRDefault="00F039DE" w:rsidP="00873B69">
            <w:pPr>
              <w:pStyle w:val="TableText"/>
            </w:pPr>
            <w:r w:rsidRPr="00E2049A">
              <w:t>Chronic</w:t>
            </w:r>
          </w:p>
        </w:tc>
        <w:tc>
          <w:tcPr>
            <w:tcW w:w="546" w:type="pct"/>
            <w:tcBorders>
              <w:top w:val="single" w:sz="12" w:space="0" w:color="auto"/>
              <w:bottom w:val="single" w:sz="4" w:space="0" w:color="auto"/>
            </w:tcBorders>
            <w:shd w:val="clear" w:color="auto" w:fill="auto"/>
          </w:tcPr>
          <w:p w14:paraId="4E042E8A" w14:textId="77777777" w:rsidR="00873B69" w:rsidRPr="00E2049A" w:rsidRDefault="00F039DE" w:rsidP="00873B69">
            <w:pPr>
              <w:pStyle w:val="TableText"/>
            </w:pPr>
            <w:r w:rsidRPr="00E2049A">
              <w:t>NOEC</w:t>
            </w:r>
          </w:p>
        </w:tc>
        <w:tc>
          <w:tcPr>
            <w:tcW w:w="547" w:type="pct"/>
            <w:tcBorders>
              <w:top w:val="single" w:sz="12" w:space="0" w:color="auto"/>
              <w:bottom w:val="single" w:sz="4" w:space="0" w:color="auto"/>
            </w:tcBorders>
            <w:shd w:val="clear" w:color="auto" w:fill="auto"/>
          </w:tcPr>
          <w:p w14:paraId="4E042E8B" w14:textId="77777777" w:rsidR="00873B69" w:rsidRPr="00E2049A" w:rsidRDefault="00F039DE" w:rsidP="00873B69">
            <w:pPr>
              <w:pStyle w:val="TableText"/>
            </w:pPr>
            <w:r w:rsidRPr="00E2049A">
              <w:t>8</w:t>
            </w:r>
            <w:r w:rsidR="00192FED">
              <w:t> </w:t>
            </w:r>
            <w:r w:rsidRPr="00E2049A">
              <w:t>944</w:t>
            </w:r>
            <w:r w:rsidR="0047142C">
              <w:t xml:space="preserve"> </w:t>
            </w:r>
            <w:r w:rsidR="0047142C" w:rsidRPr="00214188">
              <w:rPr>
                <w:rStyle w:val="Strong"/>
                <w:vertAlign w:val="superscript"/>
              </w:rPr>
              <w:t>c</w:t>
            </w:r>
          </w:p>
        </w:tc>
        <w:tc>
          <w:tcPr>
            <w:tcW w:w="624" w:type="pct"/>
            <w:tcBorders>
              <w:top w:val="single" w:sz="12" w:space="0" w:color="auto"/>
              <w:bottom w:val="single" w:sz="4" w:space="0" w:color="auto"/>
            </w:tcBorders>
            <w:shd w:val="clear" w:color="auto" w:fill="auto"/>
          </w:tcPr>
          <w:p w14:paraId="4E042E8C" w14:textId="77777777" w:rsidR="00873B69" w:rsidRPr="00873B69" w:rsidRDefault="00F039DE" w:rsidP="00873B69">
            <w:pPr>
              <w:pStyle w:val="TableText"/>
            </w:pPr>
            <w:r w:rsidRPr="00873B69">
              <w:t>8</w:t>
            </w:r>
            <w:r w:rsidR="00127710">
              <w:t> </w:t>
            </w:r>
            <w:r w:rsidRPr="00873B69">
              <w:t>944</w:t>
            </w:r>
            <w:r>
              <w:t xml:space="preserve"> </w:t>
            </w:r>
            <w:r w:rsidR="00B74744" w:rsidRPr="00B74744">
              <w:rPr>
                <w:rStyle w:val="Strong"/>
                <w:vertAlign w:val="superscript"/>
              </w:rPr>
              <w:t>b</w:t>
            </w:r>
          </w:p>
        </w:tc>
      </w:tr>
      <w:tr w:rsidR="00690C51" w14:paraId="4E042E96" w14:textId="77777777" w:rsidTr="000F30B2">
        <w:trPr>
          <w:cantSplit/>
        </w:trPr>
        <w:tc>
          <w:tcPr>
            <w:tcW w:w="625" w:type="pct"/>
            <w:vMerge/>
            <w:tcBorders>
              <w:bottom w:val="nil"/>
            </w:tcBorders>
            <w:shd w:val="clear" w:color="auto" w:fill="auto"/>
          </w:tcPr>
          <w:p w14:paraId="4E042E8E" w14:textId="77777777" w:rsidR="00873B69" w:rsidRPr="00E2049A" w:rsidRDefault="00873B69" w:rsidP="00873B69">
            <w:pPr>
              <w:pStyle w:val="TableText"/>
            </w:pPr>
          </w:p>
        </w:tc>
        <w:tc>
          <w:tcPr>
            <w:tcW w:w="1094" w:type="pct"/>
            <w:tcBorders>
              <w:top w:val="single" w:sz="4" w:space="0" w:color="auto"/>
              <w:bottom w:val="single" w:sz="4" w:space="0" w:color="auto"/>
            </w:tcBorders>
            <w:shd w:val="clear" w:color="auto" w:fill="auto"/>
          </w:tcPr>
          <w:p w14:paraId="4E042E8F" w14:textId="77777777" w:rsidR="00873B69" w:rsidRPr="00A27D29" w:rsidRDefault="00F039DE" w:rsidP="00873B69">
            <w:pPr>
              <w:pStyle w:val="TableText"/>
              <w:rPr>
                <w:rStyle w:val="Emphasis"/>
              </w:rPr>
            </w:pPr>
            <w:r w:rsidRPr="00A27D29">
              <w:rPr>
                <w:rStyle w:val="Emphasis"/>
              </w:rPr>
              <w:t>Chlorella vulgaris</w:t>
            </w:r>
          </w:p>
        </w:tc>
        <w:tc>
          <w:tcPr>
            <w:tcW w:w="547" w:type="pct"/>
            <w:tcBorders>
              <w:top w:val="single" w:sz="4" w:space="0" w:color="auto"/>
              <w:bottom w:val="single" w:sz="4" w:space="0" w:color="auto"/>
            </w:tcBorders>
            <w:shd w:val="clear" w:color="auto" w:fill="auto"/>
          </w:tcPr>
          <w:p w14:paraId="4E042E90" w14:textId="77777777" w:rsidR="00873B69" w:rsidRPr="00E2049A" w:rsidRDefault="00F039DE" w:rsidP="00873B69">
            <w:pPr>
              <w:pStyle w:val="TableText"/>
            </w:pPr>
            <w:r>
              <w:t>–</w:t>
            </w:r>
          </w:p>
        </w:tc>
        <w:tc>
          <w:tcPr>
            <w:tcW w:w="547" w:type="pct"/>
            <w:tcBorders>
              <w:top w:val="single" w:sz="4" w:space="0" w:color="auto"/>
              <w:bottom w:val="single" w:sz="4" w:space="0" w:color="auto"/>
            </w:tcBorders>
            <w:shd w:val="clear" w:color="auto" w:fill="auto"/>
          </w:tcPr>
          <w:p w14:paraId="4E042E91" w14:textId="77777777" w:rsidR="00873B69" w:rsidRPr="00E2049A" w:rsidRDefault="00F039DE" w:rsidP="00873B69">
            <w:pPr>
              <w:pStyle w:val="TableText"/>
            </w:pPr>
            <w:r w:rsidRPr="00E2049A">
              <w:t>96</w:t>
            </w:r>
          </w:p>
        </w:tc>
        <w:tc>
          <w:tcPr>
            <w:tcW w:w="470" w:type="pct"/>
            <w:tcBorders>
              <w:top w:val="single" w:sz="4" w:space="0" w:color="auto"/>
              <w:bottom w:val="single" w:sz="4" w:space="0" w:color="auto"/>
            </w:tcBorders>
            <w:shd w:val="clear" w:color="auto" w:fill="auto"/>
          </w:tcPr>
          <w:p w14:paraId="4E042E92" w14:textId="77777777" w:rsidR="00873B69" w:rsidRPr="00E2049A" w:rsidRDefault="00F039DE" w:rsidP="00873B69">
            <w:pPr>
              <w:pStyle w:val="TableText"/>
            </w:pPr>
            <w:r w:rsidRPr="00E2049A">
              <w:t>Chronic</w:t>
            </w:r>
          </w:p>
        </w:tc>
        <w:tc>
          <w:tcPr>
            <w:tcW w:w="546" w:type="pct"/>
            <w:tcBorders>
              <w:top w:val="single" w:sz="4" w:space="0" w:color="auto"/>
              <w:bottom w:val="single" w:sz="4" w:space="0" w:color="auto"/>
            </w:tcBorders>
            <w:shd w:val="clear" w:color="auto" w:fill="auto"/>
          </w:tcPr>
          <w:p w14:paraId="4E042E93" w14:textId="77777777" w:rsidR="00873B69" w:rsidRPr="00E2049A" w:rsidRDefault="00F039DE" w:rsidP="00873B69">
            <w:pPr>
              <w:pStyle w:val="TableText"/>
            </w:pPr>
            <w:r w:rsidRPr="00E2049A">
              <w:t>NOEC</w:t>
            </w:r>
          </w:p>
        </w:tc>
        <w:tc>
          <w:tcPr>
            <w:tcW w:w="547" w:type="pct"/>
            <w:tcBorders>
              <w:top w:val="single" w:sz="4" w:space="0" w:color="auto"/>
              <w:bottom w:val="single" w:sz="4" w:space="0" w:color="auto"/>
            </w:tcBorders>
            <w:shd w:val="clear" w:color="auto" w:fill="auto"/>
          </w:tcPr>
          <w:p w14:paraId="4E042E94" w14:textId="77777777" w:rsidR="00873B69" w:rsidRPr="00E2049A" w:rsidRDefault="00F039DE" w:rsidP="00873B69">
            <w:pPr>
              <w:pStyle w:val="TableText"/>
            </w:pPr>
            <w:r w:rsidRPr="00E2049A">
              <w:t>10</w:t>
            </w:r>
            <w:r w:rsidR="00192FED">
              <w:t> </w:t>
            </w:r>
            <w:r w:rsidRPr="00E2049A">
              <w:t>000</w:t>
            </w:r>
          </w:p>
        </w:tc>
        <w:tc>
          <w:tcPr>
            <w:tcW w:w="624" w:type="pct"/>
            <w:tcBorders>
              <w:top w:val="single" w:sz="4" w:space="0" w:color="auto"/>
              <w:bottom w:val="single" w:sz="4" w:space="0" w:color="auto"/>
            </w:tcBorders>
            <w:shd w:val="clear" w:color="auto" w:fill="auto"/>
          </w:tcPr>
          <w:p w14:paraId="4E042E95" w14:textId="77777777" w:rsidR="00873B69" w:rsidRPr="00873B69" w:rsidRDefault="00F039DE" w:rsidP="00873B69">
            <w:pPr>
              <w:pStyle w:val="TableText"/>
            </w:pPr>
            <w:r w:rsidRPr="00873B69">
              <w:t>10</w:t>
            </w:r>
            <w:r w:rsidR="00127710">
              <w:t> </w:t>
            </w:r>
            <w:r w:rsidRPr="00873B69">
              <w:t>000</w:t>
            </w:r>
            <w:r>
              <w:t xml:space="preserve"> </w:t>
            </w:r>
            <w:r w:rsidR="00B74744" w:rsidRPr="00B74744">
              <w:rPr>
                <w:rStyle w:val="Strong"/>
                <w:vertAlign w:val="superscript"/>
              </w:rPr>
              <w:t>b</w:t>
            </w:r>
          </w:p>
        </w:tc>
      </w:tr>
      <w:tr w:rsidR="00690C51" w14:paraId="4E042E9F" w14:textId="77777777" w:rsidTr="000F30B2">
        <w:trPr>
          <w:cantSplit/>
        </w:trPr>
        <w:tc>
          <w:tcPr>
            <w:tcW w:w="625" w:type="pct"/>
            <w:vMerge w:val="restart"/>
            <w:tcBorders>
              <w:top w:val="single" w:sz="4" w:space="0" w:color="auto"/>
            </w:tcBorders>
            <w:shd w:val="clear" w:color="auto" w:fill="auto"/>
          </w:tcPr>
          <w:p w14:paraId="4E042E97" w14:textId="77777777" w:rsidR="00E2049A" w:rsidRPr="00E2049A" w:rsidRDefault="00F039DE" w:rsidP="00873B69">
            <w:pPr>
              <w:pStyle w:val="TableText"/>
            </w:pPr>
            <w:r w:rsidRPr="00E2049A">
              <w:t>Crustacean</w:t>
            </w:r>
          </w:p>
        </w:tc>
        <w:tc>
          <w:tcPr>
            <w:tcW w:w="1094" w:type="pct"/>
            <w:tcBorders>
              <w:top w:val="single" w:sz="4" w:space="0" w:color="auto"/>
              <w:bottom w:val="nil"/>
            </w:tcBorders>
            <w:shd w:val="clear" w:color="auto" w:fill="auto"/>
          </w:tcPr>
          <w:p w14:paraId="4E042E98" w14:textId="77777777" w:rsidR="00E2049A" w:rsidRPr="00A27D29" w:rsidRDefault="00F039DE" w:rsidP="00873B69">
            <w:pPr>
              <w:pStyle w:val="TableText"/>
              <w:rPr>
                <w:rStyle w:val="Emphasis"/>
              </w:rPr>
            </w:pPr>
            <w:r w:rsidRPr="00A27D29">
              <w:rPr>
                <w:rStyle w:val="Emphasis"/>
              </w:rPr>
              <w:t>Gammarus pseudolimnaeus</w:t>
            </w:r>
          </w:p>
        </w:tc>
        <w:tc>
          <w:tcPr>
            <w:tcW w:w="547" w:type="pct"/>
            <w:tcBorders>
              <w:top w:val="single" w:sz="4" w:space="0" w:color="auto"/>
              <w:bottom w:val="nil"/>
            </w:tcBorders>
            <w:shd w:val="clear" w:color="auto" w:fill="auto"/>
          </w:tcPr>
          <w:p w14:paraId="4E042E99" w14:textId="77777777" w:rsidR="00E2049A" w:rsidRPr="00E2049A" w:rsidRDefault="00F039DE" w:rsidP="00873B69">
            <w:pPr>
              <w:pStyle w:val="TableText"/>
            </w:pPr>
            <w:r w:rsidRPr="00E2049A">
              <w:t>Juvenile</w:t>
            </w:r>
          </w:p>
        </w:tc>
        <w:tc>
          <w:tcPr>
            <w:tcW w:w="547" w:type="pct"/>
            <w:tcBorders>
              <w:top w:val="single" w:sz="4" w:space="0" w:color="auto"/>
              <w:bottom w:val="nil"/>
            </w:tcBorders>
            <w:shd w:val="clear" w:color="auto" w:fill="auto"/>
          </w:tcPr>
          <w:p w14:paraId="4E042E9A" w14:textId="77777777" w:rsidR="00E2049A" w:rsidRPr="00E2049A" w:rsidRDefault="00F039DE" w:rsidP="00873B69">
            <w:pPr>
              <w:pStyle w:val="TableText"/>
            </w:pPr>
            <w:r w:rsidRPr="00E2049A">
              <w:t>96</w:t>
            </w:r>
          </w:p>
        </w:tc>
        <w:tc>
          <w:tcPr>
            <w:tcW w:w="470" w:type="pct"/>
            <w:tcBorders>
              <w:top w:val="single" w:sz="4" w:space="0" w:color="auto"/>
              <w:bottom w:val="nil"/>
            </w:tcBorders>
            <w:shd w:val="clear" w:color="auto" w:fill="auto"/>
          </w:tcPr>
          <w:p w14:paraId="4E042E9B" w14:textId="77777777" w:rsidR="00E2049A" w:rsidRPr="00E2049A" w:rsidRDefault="00F039DE" w:rsidP="00873B69">
            <w:pPr>
              <w:pStyle w:val="TableText"/>
            </w:pPr>
            <w:r w:rsidRPr="00E2049A">
              <w:t>Acute</w:t>
            </w:r>
          </w:p>
        </w:tc>
        <w:tc>
          <w:tcPr>
            <w:tcW w:w="546" w:type="pct"/>
            <w:tcBorders>
              <w:top w:val="single" w:sz="4" w:space="0" w:color="auto"/>
              <w:bottom w:val="nil"/>
            </w:tcBorders>
            <w:shd w:val="clear" w:color="auto" w:fill="auto"/>
          </w:tcPr>
          <w:p w14:paraId="4E042E9C" w14:textId="77777777" w:rsidR="00E2049A" w:rsidRPr="00E2049A" w:rsidRDefault="00F039DE" w:rsidP="00873B69">
            <w:pPr>
              <w:pStyle w:val="TableText"/>
            </w:pPr>
            <w:r w:rsidRPr="00E2049A">
              <w:t>LC50</w:t>
            </w:r>
          </w:p>
        </w:tc>
        <w:tc>
          <w:tcPr>
            <w:tcW w:w="547" w:type="pct"/>
            <w:tcBorders>
              <w:top w:val="single" w:sz="4" w:space="0" w:color="auto"/>
              <w:bottom w:val="nil"/>
            </w:tcBorders>
            <w:shd w:val="clear" w:color="auto" w:fill="auto"/>
          </w:tcPr>
          <w:p w14:paraId="4E042E9D" w14:textId="77777777" w:rsidR="00E2049A" w:rsidRPr="00E2049A" w:rsidRDefault="00F039DE" w:rsidP="00873B69">
            <w:pPr>
              <w:pStyle w:val="TableText"/>
            </w:pPr>
            <w:r w:rsidRPr="00E2049A">
              <w:t>16</w:t>
            </w:r>
            <w:r w:rsidR="00192FED">
              <w:t> </w:t>
            </w:r>
            <w:r w:rsidRPr="00E2049A">
              <w:t>500</w:t>
            </w:r>
          </w:p>
        </w:tc>
        <w:tc>
          <w:tcPr>
            <w:tcW w:w="624" w:type="pct"/>
            <w:tcBorders>
              <w:top w:val="single" w:sz="4" w:space="0" w:color="auto"/>
              <w:bottom w:val="nil"/>
            </w:tcBorders>
            <w:shd w:val="clear" w:color="auto" w:fill="auto"/>
          </w:tcPr>
          <w:p w14:paraId="4E042E9E" w14:textId="77777777" w:rsidR="00E2049A" w:rsidRPr="00873B69" w:rsidRDefault="00F039DE" w:rsidP="00873B69">
            <w:pPr>
              <w:pStyle w:val="TableText"/>
            </w:pPr>
            <w:r w:rsidRPr="00873B69">
              <w:t>1</w:t>
            </w:r>
            <w:r w:rsidR="00127710">
              <w:t> </w:t>
            </w:r>
            <w:r w:rsidRPr="00873B69">
              <w:t>650</w:t>
            </w:r>
            <w:r w:rsidR="00873B69">
              <w:t xml:space="preserve"> </w:t>
            </w:r>
            <w:r w:rsidR="00B74744" w:rsidRPr="00B74744">
              <w:rPr>
                <w:rStyle w:val="Strong"/>
                <w:vertAlign w:val="superscript"/>
              </w:rPr>
              <w:t>d</w:t>
            </w:r>
          </w:p>
        </w:tc>
      </w:tr>
      <w:tr w:rsidR="00690C51" w14:paraId="4E042EA8" w14:textId="77777777" w:rsidTr="000F30B2">
        <w:trPr>
          <w:cantSplit/>
        </w:trPr>
        <w:tc>
          <w:tcPr>
            <w:tcW w:w="625" w:type="pct"/>
            <w:vMerge/>
            <w:shd w:val="clear" w:color="auto" w:fill="auto"/>
          </w:tcPr>
          <w:p w14:paraId="4E042EA0" w14:textId="77777777" w:rsidR="00E2049A" w:rsidRPr="00E2049A" w:rsidRDefault="00E2049A" w:rsidP="00873B69">
            <w:pPr>
              <w:pStyle w:val="TableText"/>
            </w:pPr>
          </w:p>
        </w:tc>
        <w:tc>
          <w:tcPr>
            <w:tcW w:w="1094" w:type="pct"/>
            <w:tcBorders>
              <w:top w:val="single" w:sz="4" w:space="0" w:color="auto"/>
              <w:bottom w:val="nil"/>
            </w:tcBorders>
            <w:shd w:val="clear" w:color="auto" w:fill="auto"/>
          </w:tcPr>
          <w:p w14:paraId="4E042EA1" w14:textId="77777777" w:rsidR="00E2049A" w:rsidRPr="00A27D29" w:rsidRDefault="00F039DE" w:rsidP="00873B69">
            <w:pPr>
              <w:pStyle w:val="TableText"/>
              <w:rPr>
                <w:rStyle w:val="Emphasis"/>
              </w:rPr>
            </w:pPr>
            <w:r w:rsidRPr="00A27D29">
              <w:rPr>
                <w:rStyle w:val="Emphasis"/>
              </w:rPr>
              <w:t>Gammarus fasciatus</w:t>
            </w:r>
          </w:p>
        </w:tc>
        <w:tc>
          <w:tcPr>
            <w:tcW w:w="547" w:type="pct"/>
            <w:tcBorders>
              <w:top w:val="single" w:sz="4" w:space="0" w:color="auto"/>
              <w:bottom w:val="nil"/>
            </w:tcBorders>
            <w:shd w:val="clear" w:color="auto" w:fill="auto"/>
          </w:tcPr>
          <w:p w14:paraId="4E042EA2" w14:textId="77777777" w:rsidR="00E2049A" w:rsidRPr="00E2049A" w:rsidRDefault="00F039DE" w:rsidP="00873B69">
            <w:pPr>
              <w:pStyle w:val="TableText"/>
            </w:pPr>
            <w:r w:rsidRPr="00E2049A">
              <w:t>Adult</w:t>
            </w:r>
          </w:p>
        </w:tc>
        <w:tc>
          <w:tcPr>
            <w:tcW w:w="547" w:type="pct"/>
            <w:tcBorders>
              <w:top w:val="single" w:sz="4" w:space="0" w:color="auto"/>
              <w:bottom w:val="nil"/>
            </w:tcBorders>
            <w:shd w:val="clear" w:color="auto" w:fill="auto"/>
          </w:tcPr>
          <w:p w14:paraId="4E042EA3" w14:textId="77777777" w:rsidR="00E2049A" w:rsidRPr="00E2049A" w:rsidRDefault="00F039DE" w:rsidP="00873B69">
            <w:pPr>
              <w:pStyle w:val="TableText"/>
            </w:pPr>
            <w:r w:rsidRPr="00E2049A">
              <w:t>96</w:t>
            </w:r>
          </w:p>
        </w:tc>
        <w:tc>
          <w:tcPr>
            <w:tcW w:w="470" w:type="pct"/>
            <w:tcBorders>
              <w:top w:val="single" w:sz="4" w:space="0" w:color="auto"/>
              <w:bottom w:val="nil"/>
            </w:tcBorders>
            <w:shd w:val="clear" w:color="auto" w:fill="auto"/>
          </w:tcPr>
          <w:p w14:paraId="4E042EA4" w14:textId="77777777" w:rsidR="00E2049A" w:rsidRPr="00E2049A" w:rsidRDefault="00F039DE" w:rsidP="00873B69">
            <w:pPr>
              <w:pStyle w:val="TableText"/>
            </w:pPr>
            <w:r w:rsidRPr="00E2049A">
              <w:t>Acute</w:t>
            </w:r>
          </w:p>
        </w:tc>
        <w:tc>
          <w:tcPr>
            <w:tcW w:w="546" w:type="pct"/>
            <w:tcBorders>
              <w:top w:val="single" w:sz="4" w:space="0" w:color="auto"/>
              <w:bottom w:val="nil"/>
            </w:tcBorders>
            <w:shd w:val="clear" w:color="auto" w:fill="auto"/>
          </w:tcPr>
          <w:p w14:paraId="4E042EA5" w14:textId="77777777" w:rsidR="00E2049A" w:rsidRPr="00E2049A" w:rsidRDefault="00F039DE" w:rsidP="00873B69">
            <w:pPr>
              <w:pStyle w:val="TableText"/>
            </w:pPr>
            <w:r w:rsidRPr="00E2049A">
              <w:t>LC50</w:t>
            </w:r>
          </w:p>
        </w:tc>
        <w:tc>
          <w:tcPr>
            <w:tcW w:w="547" w:type="pct"/>
            <w:tcBorders>
              <w:top w:val="single" w:sz="4" w:space="0" w:color="auto"/>
              <w:bottom w:val="nil"/>
            </w:tcBorders>
            <w:shd w:val="clear" w:color="auto" w:fill="auto"/>
          </w:tcPr>
          <w:p w14:paraId="4E042EA6" w14:textId="77777777" w:rsidR="00E2049A" w:rsidRPr="00E2049A" w:rsidRDefault="00F039DE" w:rsidP="00873B69">
            <w:pPr>
              <w:pStyle w:val="TableText"/>
            </w:pPr>
            <w:r w:rsidRPr="00E2049A">
              <w:t>27</w:t>
            </w:r>
            <w:r w:rsidR="00192FED">
              <w:t> </w:t>
            </w:r>
            <w:r w:rsidRPr="00E2049A">
              <w:t>000</w:t>
            </w:r>
          </w:p>
        </w:tc>
        <w:tc>
          <w:tcPr>
            <w:tcW w:w="624" w:type="pct"/>
            <w:tcBorders>
              <w:top w:val="single" w:sz="4" w:space="0" w:color="auto"/>
              <w:bottom w:val="nil"/>
            </w:tcBorders>
            <w:shd w:val="clear" w:color="auto" w:fill="auto"/>
          </w:tcPr>
          <w:p w14:paraId="4E042EA7" w14:textId="77777777" w:rsidR="00E2049A" w:rsidRPr="00873B69" w:rsidRDefault="00F039DE" w:rsidP="00873B69">
            <w:pPr>
              <w:pStyle w:val="TableText"/>
            </w:pPr>
            <w:r w:rsidRPr="00873B69">
              <w:t>2</w:t>
            </w:r>
            <w:r w:rsidR="00127710">
              <w:t> </w:t>
            </w:r>
            <w:r w:rsidRPr="00873B69">
              <w:t>700</w:t>
            </w:r>
            <w:r w:rsidR="00873B69">
              <w:t xml:space="preserve"> </w:t>
            </w:r>
            <w:r w:rsidR="00B74744" w:rsidRPr="00B74744">
              <w:rPr>
                <w:rStyle w:val="Strong"/>
                <w:vertAlign w:val="superscript"/>
              </w:rPr>
              <w:t>d</w:t>
            </w:r>
          </w:p>
        </w:tc>
      </w:tr>
      <w:tr w:rsidR="00690C51" w14:paraId="4E042EB1" w14:textId="77777777" w:rsidTr="000F30B2">
        <w:trPr>
          <w:cantSplit/>
        </w:trPr>
        <w:tc>
          <w:tcPr>
            <w:tcW w:w="625" w:type="pct"/>
            <w:vMerge/>
            <w:tcBorders>
              <w:bottom w:val="nil"/>
            </w:tcBorders>
            <w:shd w:val="clear" w:color="auto" w:fill="auto"/>
          </w:tcPr>
          <w:p w14:paraId="4E042EA9" w14:textId="77777777" w:rsidR="00E2049A" w:rsidRPr="00E2049A" w:rsidRDefault="00E2049A" w:rsidP="00873B69">
            <w:pPr>
              <w:pStyle w:val="TableText"/>
            </w:pPr>
          </w:p>
        </w:tc>
        <w:tc>
          <w:tcPr>
            <w:tcW w:w="1094" w:type="pct"/>
            <w:tcBorders>
              <w:top w:val="single" w:sz="4" w:space="0" w:color="auto"/>
              <w:bottom w:val="nil"/>
            </w:tcBorders>
            <w:shd w:val="clear" w:color="auto" w:fill="auto"/>
          </w:tcPr>
          <w:p w14:paraId="4E042EAA" w14:textId="77777777" w:rsidR="00E2049A" w:rsidRPr="00A27D29" w:rsidRDefault="00F039DE" w:rsidP="00873B69">
            <w:pPr>
              <w:pStyle w:val="TableText"/>
              <w:rPr>
                <w:rStyle w:val="Emphasis"/>
              </w:rPr>
            </w:pPr>
            <w:r w:rsidRPr="00A27D29">
              <w:rPr>
                <w:rStyle w:val="Emphasis"/>
              </w:rPr>
              <w:t>Daphnia magna</w:t>
            </w:r>
          </w:p>
        </w:tc>
        <w:tc>
          <w:tcPr>
            <w:tcW w:w="547" w:type="pct"/>
            <w:tcBorders>
              <w:top w:val="single" w:sz="4" w:space="0" w:color="auto"/>
              <w:bottom w:val="nil"/>
            </w:tcBorders>
            <w:shd w:val="clear" w:color="auto" w:fill="auto"/>
          </w:tcPr>
          <w:p w14:paraId="4E042EAB" w14:textId="77777777" w:rsidR="00E2049A" w:rsidRPr="00E2049A" w:rsidRDefault="00F039DE" w:rsidP="00873B69">
            <w:pPr>
              <w:pStyle w:val="TableText"/>
            </w:pPr>
            <w:r w:rsidRPr="00E2049A">
              <w:t>Neonate</w:t>
            </w:r>
          </w:p>
        </w:tc>
        <w:tc>
          <w:tcPr>
            <w:tcW w:w="547" w:type="pct"/>
            <w:tcBorders>
              <w:top w:val="single" w:sz="4" w:space="0" w:color="auto"/>
              <w:bottom w:val="nil"/>
            </w:tcBorders>
            <w:shd w:val="clear" w:color="auto" w:fill="auto"/>
          </w:tcPr>
          <w:p w14:paraId="4E042EAC" w14:textId="77777777" w:rsidR="00E2049A" w:rsidRPr="00E2049A" w:rsidRDefault="00F039DE" w:rsidP="00873B69">
            <w:pPr>
              <w:pStyle w:val="TableText"/>
            </w:pPr>
            <w:r w:rsidRPr="00E2049A">
              <w:t>504</w:t>
            </w:r>
          </w:p>
        </w:tc>
        <w:tc>
          <w:tcPr>
            <w:tcW w:w="470" w:type="pct"/>
            <w:tcBorders>
              <w:top w:val="single" w:sz="4" w:space="0" w:color="auto"/>
              <w:bottom w:val="nil"/>
            </w:tcBorders>
            <w:shd w:val="clear" w:color="auto" w:fill="auto"/>
          </w:tcPr>
          <w:p w14:paraId="4E042EAD" w14:textId="77777777" w:rsidR="00E2049A" w:rsidRPr="00E2049A" w:rsidRDefault="00F039DE" w:rsidP="00873B69">
            <w:pPr>
              <w:pStyle w:val="TableText"/>
            </w:pPr>
            <w:r w:rsidRPr="00E2049A">
              <w:t>Chronic</w:t>
            </w:r>
          </w:p>
        </w:tc>
        <w:tc>
          <w:tcPr>
            <w:tcW w:w="546" w:type="pct"/>
            <w:tcBorders>
              <w:top w:val="single" w:sz="4" w:space="0" w:color="auto"/>
              <w:bottom w:val="nil"/>
            </w:tcBorders>
            <w:shd w:val="clear" w:color="auto" w:fill="auto"/>
          </w:tcPr>
          <w:p w14:paraId="4E042EAE" w14:textId="77777777" w:rsidR="00E2049A" w:rsidRPr="00E2049A" w:rsidRDefault="00F039DE" w:rsidP="00873B69">
            <w:pPr>
              <w:pStyle w:val="TableText"/>
            </w:pPr>
            <w:r w:rsidRPr="00E2049A">
              <w:t>NOEC</w:t>
            </w:r>
          </w:p>
        </w:tc>
        <w:tc>
          <w:tcPr>
            <w:tcW w:w="547" w:type="pct"/>
            <w:tcBorders>
              <w:top w:val="single" w:sz="4" w:space="0" w:color="auto"/>
              <w:bottom w:val="nil"/>
            </w:tcBorders>
            <w:shd w:val="clear" w:color="auto" w:fill="auto"/>
          </w:tcPr>
          <w:p w14:paraId="4E042EAF" w14:textId="77777777" w:rsidR="00E2049A" w:rsidRPr="00E2049A" w:rsidRDefault="00F039DE" w:rsidP="00873B69">
            <w:pPr>
              <w:pStyle w:val="TableText"/>
            </w:pPr>
            <w:r w:rsidRPr="00E2049A">
              <w:t>11</w:t>
            </w:r>
            <w:r w:rsidR="00192FED">
              <w:t> </w:t>
            </w:r>
            <w:r w:rsidRPr="00E2049A">
              <w:t>800</w:t>
            </w:r>
          </w:p>
        </w:tc>
        <w:tc>
          <w:tcPr>
            <w:tcW w:w="624" w:type="pct"/>
            <w:tcBorders>
              <w:top w:val="single" w:sz="4" w:space="0" w:color="auto"/>
              <w:bottom w:val="nil"/>
            </w:tcBorders>
            <w:shd w:val="clear" w:color="auto" w:fill="auto"/>
          </w:tcPr>
          <w:p w14:paraId="4E042EB0" w14:textId="77777777" w:rsidR="00E2049A" w:rsidRPr="00873B69" w:rsidRDefault="00F039DE" w:rsidP="00873B69">
            <w:pPr>
              <w:pStyle w:val="TableText"/>
            </w:pPr>
            <w:r w:rsidRPr="00873B69">
              <w:t>11</w:t>
            </w:r>
            <w:r w:rsidR="00127710">
              <w:t> </w:t>
            </w:r>
            <w:r w:rsidRPr="00873B69">
              <w:t>800</w:t>
            </w:r>
            <w:r w:rsidR="00873B69">
              <w:t xml:space="preserve"> </w:t>
            </w:r>
            <w:r w:rsidR="00B74744" w:rsidRPr="00B74744">
              <w:rPr>
                <w:rStyle w:val="Strong"/>
                <w:vertAlign w:val="superscript"/>
              </w:rPr>
              <w:t>b</w:t>
            </w:r>
          </w:p>
        </w:tc>
      </w:tr>
      <w:tr w:rsidR="00690C51" w14:paraId="4E042EBA" w14:textId="77777777" w:rsidTr="000F30B2">
        <w:trPr>
          <w:cantSplit/>
        </w:trPr>
        <w:tc>
          <w:tcPr>
            <w:tcW w:w="625" w:type="pct"/>
            <w:tcBorders>
              <w:top w:val="single" w:sz="4" w:space="0" w:color="auto"/>
              <w:bottom w:val="nil"/>
            </w:tcBorders>
            <w:shd w:val="clear" w:color="auto" w:fill="auto"/>
          </w:tcPr>
          <w:p w14:paraId="4E042EB2" w14:textId="77777777" w:rsidR="00E2049A" w:rsidRPr="00E2049A" w:rsidRDefault="00F039DE" w:rsidP="00873B69">
            <w:pPr>
              <w:pStyle w:val="TableText"/>
            </w:pPr>
            <w:r w:rsidRPr="00E2049A">
              <w:t>Insect</w:t>
            </w:r>
          </w:p>
        </w:tc>
        <w:tc>
          <w:tcPr>
            <w:tcW w:w="1094" w:type="pct"/>
            <w:tcBorders>
              <w:top w:val="single" w:sz="4" w:space="0" w:color="auto"/>
              <w:bottom w:val="nil"/>
            </w:tcBorders>
            <w:shd w:val="clear" w:color="auto" w:fill="auto"/>
          </w:tcPr>
          <w:p w14:paraId="4E042EB3" w14:textId="77777777" w:rsidR="00E2049A" w:rsidRPr="00A27D29" w:rsidRDefault="00F039DE" w:rsidP="00873B69">
            <w:pPr>
              <w:pStyle w:val="TableText"/>
              <w:rPr>
                <w:rStyle w:val="Emphasis"/>
              </w:rPr>
            </w:pPr>
            <w:r w:rsidRPr="00A27D29">
              <w:rPr>
                <w:rStyle w:val="Emphasis"/>
              </w:rPr>
              <w:t>Pteronarcys californica</w:t>
            </w:r>
          </w:p>
        </w:tc>
        <w:tc>
          <w:tcPr>
            <w:tcW w:w="547" w:type="pct"/>
            <w:tcBorders>
              <w:top w:val="single" w:sz="4" w:space="0" w:color="auto"/>
              <w:bottom w:val="nil"/>
            </w:tcBorders>
            <w:shd w:val="clear" w:color="auto" w:fill="auto"/>
          </w:tcPr>
          <w:p w14:paraId="4E042EB4" w14:textId="77777777" w:rsidR="00E2049A" w:rsidRPr="00E2049A" w:rsidRDefault="00F039DE" w:rsidP="00873B69">
            <w:pPr>
              <w:pStyle w:val="TableText"/>
            </w:pPr>
            <w:r w:rsidRPr="00E2049A">
              <w:t>YC-2</w:t>
            </w:r>
          </w:p>
        </w:tc>
        <w:tc>
          <w:tcPr>
            <w:tcW w:w="547" w:type="pct"/>
            <w:tcBorders>
              <w:top w:val="single" w:sz="4" w:space="0" w:color="auto"/>
              <w:bottom w:val="nil"/>
            </w:tcBorders>
            <w:shd w:val="clear" w:color="auto" w:fill="auto"/>
          </w:tcPr>
          <w:p w14:paraId="4E042EB5" w14:textId="77777777" w:rsidR="00E2049A" w:rsidRPr="00E2049A" w:rsidRDefault="00F039DE" w:rsidP="00873B69">
            <w:pPr>
              <w:pStyle w:val="TableText"/>
            </w:pPr>
            <w:r w:rsidRPr="00E2049A">
              <w:t>240</w:t>
            </w:r>
          </w:p>
        </w:tc>
        <w:tc>
          <w:tcPr>
            <w:tcW w:w="470" w:type="pct"/>
            <w:tcBorders>
              <w:top w:val="single" w:sz="4" w:space="0" w:color="auto"/>
              <w:bottom w:val="nil"/>
            </w:tcBorders>
            <w:shd w:val="clear" w:color="auto" w:fill="auto"/>
          </w:tcPr>
          <w:p w14:paraId="4E042EB6" w14:textId="77777777" w:rsidR="00E2049A" w:rsidRPr="00E2049A" w:rsidRDefault="00F039DE" w:rsidP="00873B69">
            <w:pPr>
              <w:pStyle w:val="TableText"/>
            </w:pPr>
            <w:r w:rsidRPr="00E2049A">
              <w:t>Acute</w:t>
            </w:r>
          </w:p>
        </w:tc>
        <w:tc>
          <w:tcPr>
            <w:tcW w:w="546" w:type="pct"/>
            <w:tcBorders>
              <w:top w:val="single" w:sz="4" w:space="0" w:color="auto"/>
              <w:bottom w:val="nil"/>
            </w:tcBorders>
            <w:shd w:val="clear" w:color="auto" w:fill="auto"/>
          </w:tcPr>
          <w:p w14:paraId="4E042EB7" w14:textId="77777777" w:rsidR="00E2049A" w:rsidRPr="00E2049A" w:rsidRDefault="00F039DE" w:rsidP="00873B69">
            <w:pPr>
              <w:pStyle w:val="TableText"/>
            </w:pPr>
            <w:r w:rsidRPr="00E2049A">
              <w:t>LC50</w:t>
            </w:r>
          </w:p>
        </w:tc>
        <w:tc>
          <w:tcPr>
            <w:tcW w:w="547" w:type="pct"/>
            <w:tcBorders>
              <w:top w:val="single" w:sz="4" w:space="0" w:color="auto"/>
              <w:bottom w:val="nil"/>
            </w:tcBorders>
            <w:shd w:val="clear" w:color="auto" w:fill="auto"/>
          </w:tcPr>
          <w:p w14:paraId="4E042EB8" w14:textId="77777777" w:rsidR="00E2049A" w:rsidRPr="00E2049A" w:rsidRDefault="00F039DE" w:rsidP="00873B69">
            <w:pPr>
              <w:pStyle w:val="TableText"/>
            </w:pPr>
            <w:r w:rsidRPr="00E2049A">
              <w:t>48</w:t>
            </w:r>
            <w:r w:rsidR="00192FED">
              <w:t> </w:t>
            </w:r>
            <w:r w:rsidRPr="00E2049A">
              <w:t>000</w:t>
            </w:r>
          </w:p>
        </w:tc>
        <w:tc>
          <w:tcPr>
            <w:tcW w:w="624" w:type="pct"/>
            <w:tcBorders>
              <w:top w:val="single" w:sz="4" w:space="0" w:color="auto"/>
              <w:bottom w:val="nil"/>
            </w:tcBorders>
            <w:shd w:val="clear" w:color="auto" w:fill="auto"/>
          </w:tcPr>
          <w:p w14:paraId="4E042EB9" w14:textId="77777777" w:rsidR="00E2049A" w:rsidRPr="00873B69" w:rsidRDefault="00F039DE" w:rsidP="00873B69">
            <w:pPr>
              <w:pStyle w:val="TableText"/>
            </w:pPr>
            <w:r w:rsidRPr="00873B69">
              <w:t>4</w:t>
            </w:r>
            <w:r w:rsidR="00127710">
              <w:t> </w:t>
            </w:r>
            <w:r w:rsidRPr="00873B69">
              <w:t>800</w:t>
            </w:r>
            <w:r w:rsidR="00873B69">
              <w:t xml:space="preserve"> </w:t>
            </w:r>
            <w:r w:rsidR="00B74744" w:rsidRPr="00B74744">
              <w:rPr>
                <w:rStyle w:val="Strong"/>
                <w:vertAlign w:val="superscript"/>
              </w:rPr>
              <w:t>d</w:t>
            </w:r>
          </w:p>
        </w:tc>
      </w:tr>
      <w:tr w:rsidR="00690C51" w14:paraId="4E042EC3" w14:textId="77777777" w:rsidTr="000F30B2">
        <w:trPr>
          <w:cantSplit/>
        </w:trPr>
        <w:tc>
          <w:tcPr>
            <w:tcW w:w="625" w:type="pct"/>
            <w:vMerge w:val="restart"/>
            <w:tcBorders>
              <w:top w:val="single" w:sz="4" w:space="0" w:color="auto"/>
            </w:tcBorders>
            <w:shd w:val="clear" w:color="auto" w:fill="auto"/>
          </w:tcPr>
          <w:p w14:paraId="4E042EBB" w14:textId="77777777" w:rsidR="00E2049A" w:rsidRPr="001C78DE" w:rsidRDefault="00F039DE" w:rsidP="00873B69">
            <w:pPr>
              <w:pStyle w:val="TableText"/>
            </w:pPr>
            <w:r w:rsidRPr="001C78DE">
              <w:t>Fish</w:t>
            </w:r>
          </w:p>
        </w:tc>
        <w:tc>
          <w:tcPr>
            <w:tcW w:w="1094" w:type="pct"/>
            <w:tcBorders>
              <w:top w:val="single" w:sz="4" w:space="0" w:color="auto"/>
              <w:bottom w:val="single" w:sz="4" w:space="0" w:color="auto"/>
            </w:tcBorders>
            <w:shd w:val="clear" w:color="auto" w:fill="auto"/>
          </w:tcPr>
          <w:p w14:paraId="4E042EBC" w14:textId="77777777" w:rsidR="00E2049A" w:rsidRPr="00A27D29" w:rsidRDefault="00F039DE" w:rsidP="00873B69">
            <w:pPr>
              <w:pStyle w:val="TableText"/>
              <w:rPr>
                <w:rStyle w:val="Emphasis"/>
              </w:rPr>
            </w:pPr>
            <w:r w:rsidRPr="00A27D29">
              <w:rPr>
                <w:rStyle w:val="Emphasis"/>
              </w:rPr>
              <w:t>Ictalurus punctatus</w:t>
            </w:r>
          </w:p>
        </w:tc>
        <w:tc>
          <w:tcPr>
            <w:tcW w:w="547" w:type="pct"/>
            <w:tcBorders>
              <w:top w:val="single" w:sz="4" w:space="0" w:color="auto"/>
              <w:bottom w:val="single" w:sz="4" w:space="0" w:color="auto"/>
            </w:tcBorders>
            <w:shd w:val="clear" w:color="auto" w:fill="auto"/>
          </w:tcPr>
          <w:p w14:paraId="4E042EBD" w14:textId="77777777" w:rsidR="00E2049A" w:rsidRPr="001C78DE" w:rsidRDefault="00F039DE" w:rsidP="00873B69">
            <w:pPr>
              <w:pStyle w:val="TableText"/>
            </w:pPr>
            <w:r w:rsidRPr="001C78DE">
              <w:t>Juvenile</w:t>
            </w:r>
          </w:p>
        </w:tc>
        <w:tc>
          <w:tcPr>
            <w:tcW w:w="547" w:type="pct"/>
            <w:tcBorders>
              <w:top w:val="single" w:sz="4" w:space="0" w:color="auto"/>
              <w:bottom w:val="single" w:sz="4" w:space="0" w:color="auto"/>
            </w:tcBorders>
            <w:shd w:val="clear" w:color="auto" w:fill="auto"/>
          </w:tcPr>
          <w:p w14:paraId="4E042EBE" w14:textId="77777777" w:rsidR="00E2049A" w:rsidRPr="001C78DE" w:rsidRDefault="00F039DE" w:rsidP="00873B69">
            <w:pPr>
              <w:pStyle w:val="TableText"/>
            </w:pPr>
            <w:r w:rsidRPr="001C78DE">
              <w:t>96</w:t>
            </w:r>
          </w:p>
        </w:tc>
        <w:tc>
          <w:tcPr>
            <w:tcW w:w="470" w:type="pct"/>
            <w:tcBorders>
              <w:top w:val="single" w:sz="4" w:space="0" w:color="auto"/>
              <w:bottom w:val="single" w:sz="4" w:space="0" w:color="auto"/>
            </w:tcBorders>
            <w:shd w:val="clear" w:color="auto" w:fill="auto"/>
          </w:tcPr>
          <w:p w14:paraId="4E042EBF" w14:textId="77777777" w:rsidR="00E2049A" w:rsidRPr="001C78DE" w:rsidRDefault="00F039DE" w:rsidP="00873B69">
            <w:pPr>
              <w:pStyle w:val="TableText"/>
            </w:pPr>
            <w:r w:rsidRPr="001C78DE">
              <w:t>Acute</w:t>
            </w:r>
          </w:p>
        </w:tc>
        <w:tc>
          <w:tcPr>
            <w:tcW w:w="546" w:type="pct"/>
            <w:tcBorders>
              <w:top w:val="single" w:sz="4" w:space="0" w:color="auto"/>
              <w:bottom w:val="single" w:sz="4" w:space="0" w:color="auto"/>
            </w:tcBorders>
            <w:shd w:val="clear" w:color="auto" w:fill="auto"/>
          </w:tcPr>
          <w:p w14:paraId="4E042EC0" w14:textId="77777777" w:rsidR="00E2049A" w:rsidRPr="001C78DE" w:rsidRDefault="00F039DE" w:rsidP="00873B69">
            <w:pPr>
              <w:pStyle w:val="TableText"/>
            </w:pPr>
            <w:r w:rsidRPr="001C78DE">
              <w:t>LC50</w:t>
            </w:r>
          </w:p>
        </w:tc>
        <w:tc>
          <w:tcPr>
            <w:tcW w:w="547" w:type="pct"/>
            <w:tcBorders>
              <w:top w:val="single" w:sz="4" w:space="0" w:color="auto"/>
              <w:bottom w:val="single" w:sz="4" w:space="0" w:color="auto"/>
            </w:tcBorders>
            <w:shd w:val="clear" w:color="auto" w:fill="auto"/>
          </w:tcPr>
          <w:p w14:paraId="4E042EC1" w14:textId="77777777" w:rsidR="00E2049A" w:rsidRPr="001C78DE" w:rsidRDefault="00F039DE" w:rsidP="00873B69">
            <w:pPr>
              <w:pStyle w:val="TableText"/>
            </w:pPr>
            <w:r w:rsidRPr="001C78DE">
              <w:t>1</w:t>
            </w:r>
            <w:r w:rsidR="00192FED">
              <w:t> </w:t>
            </w:r>
            <w:r w:rsidRPr="001C78DE">
              <w:t>400</w:t>
            </w:r>
          </w:p>
        </w:tc>
        <w:tc>
          <w:tcPr>
            <w:tcW w:w="624" w:type="pct"/>
            <w:tcBorders>
              <w:top w:val="single" w:sz="4" w:space="0" w:color="auto"/>
              <w:bottom w:val="single" w:sz="4" w:space="0" w:color="auto"/>
            </w:tcBorders>
            <w:shd w:val="clear" w:color="auto" w:fill="auto"/>
          </w:tcPr>
          <w:p w14:paraId="4E042EC2" w14:textId="77777777" w:rsidR="00E2049A" w:rsidRPr="00873B69" w:rsidRDefault="00F039DE" w:rsidP="00873B69">
            <w:pPr>
              <w:pStyle w:val="TableText"/>
            </w:pPr>
            <w:r w:rsidRPr="00873B69">
              <w:t>1</w:t>
            </w:r>
            <w:r w:rsidR="00EF7F22" w:rsidRPr="00873B69">
              <w:t>40</w:t>
            </w:r>
            <w:r w:rsidR="00873B69">
              <w:t xml:space="preserve"> </w:t>
            </w:r>
            <w:r w:rsidR="00B74744" w:rsidRPr="00B74744">
              <w:rPr>
                <w:rStyle w:val="Strong"/>
                <w:vertAlign w:val="superscript"/>
              </w:rPr>
              <w:t>d</w:t>
            </w:r>
          </w:p>
        </w:tc>
      </w:tr>
      <w:tr w:rsidR="00690C51" w14:paraId="4E042ECC" w14:textId="77777777" w:rsidTr="000F30B2">
        <w:trPr>
          <w:cantSplit/>
        </w:trPr>
        <w:tc>
          <w:tcPr>
            <w:tcW w:w="625" w:type="pct"/>
            <w:vMerge/>
            <w:shd w:val="clear" w:color="auto" w:fill="auto"/>
          </w:tcPr>
          <w:p w14:paraId="4E042EC4" w14:textId="77777777" w:rsidR="001C78DE" w:rsidRPr="001C78DE" w:rsidRDefault="001C78DE" w:rsidP="00873B69">
            <w:pPr>
              <w:pStyle w:val="TableText"/>
            </w:pPr>
          </w:p>
        </w:tc>
        <w:tc>
          <w:tcPr>
            <w:tcW w:w="1094" w:type="pct"/>
            <w:tcBorders>
              <w:top w:val="single" w:sz="4" w:space="0" w:color="auto"/>
              <w:bottom w:val="single" w:sz="4" w:space="0" w:color="auto"/>
            </w:tcBorders>
            <w:shd w:val="clear" w:color="auto" w:fill="auto"/>
          </w:tcPr>
          <w:p w14:paraId="4E042EC5" w14:textId="77777777" w:rsidR="001C78DE" w:rsidRPr="00A27D29" w:rsidRDefault="00F039DE" w:rsidP="00873B69">
            <w:pPr>
              <w:pStyle w:val="TableText"/>
              <w:rPr>
                <w:rStyle w:val="Emphasis"/>
              </w:rPr>
            </w:pPr>
            <w:r w:rsidRPr="00A27D29">
              <w:rPr>
                <w:rStyle w:val="Emphasis"/>
              </w:rPr>
              <w:t>Oncorhynchus clarkii</w:t>
            </w:r>
          </w:p>
        </w:tc>
        <w:tc>
          <w:tcPr>
            <w:tcW w:w="547" w:type="pct"/>
            <w:tcBorders>
              <w:top w:val="single" w:sz="4" w:space="0" w:color="auto"/>
              <w:bottom w:val="single" w:sz="4" w:space="0" w:color="auto"/>
            </w:tcBorders>
            <w:shd w:val="clear" w:color="auto" w:fill="auto"/>
          </w:tcPr>
          <w:p w14:paraId="4E042EC6" w14:textId="77777777" w:rsidR="001C78DE" w:rsidRPr="001C78DE" w:rsidRDefault="00F039DE" w:rsidP="00873B69">
            <w:pPr>
              <w:pStyle w:val="TableText"/>
            </w:pPr>
            <w:r w:rsidRPr="001C78DE">
              <w:t>Juvenile</w:t>
            </w:r>
          </w:p>
        </w:tc>
        <w:tc>
          <w:tcPr>
            <w:tcW w:w="547" w:type="pct"/>
            <w:tcBorders>
              <w:top w:val="single" w:sz="4" w:space="0" w:color="auto"/>
              <w:bottom w:val="single" w:sz="4" w:space="0" w:color="auto"/>
            </w:tcBorders>
            <w:shd w:val="clear" w:color="auto" w:fill="auto"/>
          </w:tcPr>
          <w:p w14:paraId="4E042EC7" w14:textId="77777777" w:rsidR="001C78DE" w:rsidRPr="001C78DE" w:rsidRDefault="00F039DE" w:rsidP="00873B69">
            <w:pPr>
              <w:pStyle w:val="TableText"/>
            </w:pPr>
            <w:r w:rsidRPr="001C78DE">
              <w:t>96</w:t>
            </w:r>
          </w:p>
        </w:tc>
        <w:tc>
          <w:tcPr>
            <w:tcW w:w="470" w:type="pct"/>
            <w:tcBorders>
              <w:top w:val="single" w:sz="4" w:space="0" w:color="auto"/>
              <w:bottom w:val="single" w:sz="4" w:space="0" w:color="auto"/>
            </w:tcBorders>
            <w:shd w:val="clear" w:color="auto" w:fill="auto"/>
          </w:tcPr>
          <w:p w14:paraId="4E042EC8" w14:textId="77777777" w:rsidR="001C78DE" w:rsidRPr="001C78DE" w:rsidRDefault="00F039DE" w:rsidP="00873B69">
            <w:pPr>
              <w:pStyle w:val="TableText"/>
            </w:pPr>
            <w:r w:rsidRPr="001C78DE">
              <w:t>Acute</w:t>
            </w:r>
          </w:p>
        </w:tc>
        <w:tc>
          <w:tcPr>
            <w:tcW w:w="546" w:type="pct"/>
            <w:tcBorders>
              <w:top w:val="single" w:sz="4" w:space="0" w:color="auto"/>
              <w:bottom w:val="single" w:sz="4" w:space="0" w:color="auto"/>
            </w:tcBorders>
            <w:shd w:val="clear" w:color="auto" w:fill="auto"/>
          </w:tcPr>
          <w:p w14:paraId="4E042EC9" w14:textId="77777777" w:rsidR="001C78DE" w:rsidRPr="001C78DE" w:rsidRDefault="00F039DE" w:rsidP="00873B69">
            <w:pPr>
              <w:pStyle w:val="TableText"/>
            </w:pPr>
            <w:r w:rsidRPr="001C78DE">
              <w:t>LC50</w:t>
            </w:r>
          </w:p>
        </w:tc>
        <w:tc>
          <w:tcPr>
            <w:tcW w:w="547" w:type="pct"/>
            <w:tcBorders>
              <w:top w:val="single" w:sz="4" w:space="0" w:color="auto"/>
              <w:bottom w:val="single" w:sz="4" w:space="0" w:color="auto"/>
            </w:tcBorders>
            <w:shd w:val="clear" w:color="auto" w:fill="auto"/>
          </w:tcPr>
          <w:p w14:paraId="4E042ECA" w14:textId="77777777" w:rsidR="001C78DE" w:rsidRPr="001C78DE" w:rsidRDefault="00F039DE" w:rsidP="00873B69">
            <w:pPr>
              <w:pStyle w:val="TableText"/>
            </w:pPr>
            <w:r>
              <w:t>2</w:t>
            </w:r>
            <w:r w:rsidR="00192FED">
              <w:t> </w:t>
            </w:r>
            <w:r>
              <w:t>290</w:t>
            </w:r>
            <w:r w:rsidR="0047142C">
              <w:t xml:space="preserve"> </w:t>
            </w:r>
            <w:r w:rsidR="0047142C" w:rsidRPr="00214188">
              <w:rPr>
                <w:rStyle w:val="Strong"/>
                <w:vertAlign w:val="superscript"/>
              </w:rPr>
              <w:t>c</w:t>
            </w:r>
          </w:p>
        </w:tc>
        <w:tc>
          <w:tcPr>
            <w:tcW w:w="624" w:type="pct"/>
            <w:tcBorders>
              <w:top w:val="single" w:sz="4" w:space="0" w:color="auto"/>
              <w:bottom w:val="single" w:sz="4" w:space="0" w:color="auto"/>
            </w:tcBorders>
            <w:shd w:val="clear" w:color="auto" w:fill="auto"/>
          </w:tcPr>
          <w:p w14:paraId="4E042ECB" w14:textId="77777777" w:rsidR="001C78DE" w:rsidRPr="00873B69" w:rsidRDefault="00F039DE" w:rsidP="00873B69">
            <w:pPr>
              <w:pStyle w:val="TableText"/>
            </w:pPr>
            <w:r w:rsidRPr="00873B69">
              <w:t>229</w:t>
            </w:r>
            <w:r w:rsidR="00873B69">
              <w:t xml:space="preserve"> </w:t>
            </w:r>
            <w:r w:rsidR="00B74744" w:rsidRPr="00B74744">
              <w:rPr>
                <w:rStyle w:val="Strong"/>
                <w:vertAlign w:val="superscript"/>
              </w:rPr>
              <w:t>d</w:t>
            </w:r>
          </w:p>
        </w:tc>
      </w:tr>
      <w:tr w:rsidR="00690C51" w14:paraId="4E042ED5" w14:textId="77777777" w:rsidTr="000F30B2">
        <w:trPr>
          <w:cantSplit/>
        </w:trPr>
        <w:tc>
          <w:tcPr>
            <w:tcW w:w="625" w:type="pct"/>
            <w:vMerge/>
            <w:shd w:val="clear" w:color="auto" w:fill="auto"/>
          </w:tcPr>
          <w:p w14:paraId="4E042ECD" w14:textId="77777777" w:rsidR="001C78DE" w:rsidRPr="001C78DE" w:rsidRDefault="001C78DE" w:rsidP="00873B69">
            <w:pPr>
              <w:pStyle w:val="TableText"/>
            </w:pPr>
          </w:p>
        </w:tc>
        <w:tc>
          <w:tcPr>
            <w:tcW w:w="1094" w:type="pct"/>
            <w:tcBorders>
              <w:top w:val="single" w:sz="4" w:space="0" w:color="auto"/>
              <w:bottom w:val="single" w:sz="4" w:space="0" w:color="auto"/>
            </w:tcBorders>
            <w:shd w:val="clear" w:color="auto" w:fill="auto"/>
          </w:tcPr>
          <w:p w14:paraId="4E042ECE" w14:textId="77777777" w:rsidR="001C78DE" w:rsidRPr="00A27D29" w:rsidRDefault="00F039DE" w:rsidP="00873B69">
            <w:pPr>
              <w:pStyle w:val="TableText"/>
              <w:rPr>
                <w:rStyle w:val="Emphasis"/>
              </w:rPr>
            </w:pPr>
            <w:r w:rsidRPr="00A27D29">
              <w:rPr>
                <w:rStyle w:val="Emphasis"/>
              </w:rPr>
              <w:t>Salvelinus namaycush</w:t>
            </w:r>
          </w:p>
        </w:tc>
        <w:tc>
          <w:tcPr>
            <w:tcW w:w="547" w:type="pct"/>
            <w:tcBorders>
              <w:top w:val="single" w:sz="4" w:space="0" w:color="auto"/>
              <w:bottom w:val="single" w:sz="4" w:space="0" w:color="auto"/>
            </w:tcBorders>
            <w:shd w:val="clear" w:color="auto" w:fill="auto"/>
          </w:tcPr>
          <w:p w14:paraId="4E042ECF" w14:textId="77777777" w:rsidR="001C78DE" w:rsidRPr="001C78DE" w:rsidRDefault="00F039DE" w:rsidP="00873B69">
            <w:pPr>
              <w:pStyle w:val="TableText"/>
            </w:pPr>
            <w:r w:rsidRPr="001C78DE">
              <w:t>Juvenile</w:t>
            </w:r>
          </w:p>
        </w:tc>
        <w:tc>
          <w:tcPr>
            <w:tcW w:w="547" w:type="pct"/>
            <w:tcBorders>
              <w:top w:val="single" w:sz="4" w:space="0" w:color="auto"/>
              <w:bottom w:val="single" w:sz="4" w:space="0" w:color="auto"/>
            </w:tcBorders>
            <w:shd w:val="clear" w:color="auto" w:fill="auto"/>
          </w:tcPr>
          <w:p w14:paraId="4E042ED0" w14:textId="77777777" w:rsidR="001C78DE" w:rsidRPr="001C78DE" w:rsidRDefault="00F039DE" w:rsidP="00873B69">
            <w:pPr>
              <w:pStyle w:val="TableText"/>
            </w:pPr>
            <w:r w:rsidRPr="001C78DE">
              <w:t>96</w:t>
            </w:r>
          </w:p>
        </w:tc>
        <w:tc>
          <w:tcPr>
            <w:tcW w:w="470" w:type="pct"/>
            <w:tcBorders>
              <w:top w:val="single" w:sz="4" w:space="0" w:color="auto"/>
              <w:bottom w:val="single" w:sz="4" w:space="0" w:color="auto"/>
            </w:tcBorders>
            <w:shd w:val="clear" w:color="auto" w:fill="auto"/>
          </w:tcPr>
          <w:p w14:paraId="4E042ED1" w14:textId="77777777" w:rsidR="001C78DE" w:rsidRPr="001C78DE" w:rsidRDefault="00F039DE" w:rsidP="00873B69">
            <w:pPr>
              <w:pStyle w:val="TableText"/>
            </w:pPr>
            <w:r w:rsidRPr="001C78DE">
              <w:t>Acute</w:t>
            </w:r>
          </w:p>
        </w:tc>
        <w:tc>
          <w:tcPr>
            <w:tcW w:w="546" w:type="pct"/>
            <w:tcBorders>
              <w:top w:val="single" w:sz="4" w:space="0" w:color="auto"/>
              <w:bottom w:val="single" w:sz="4" w:space="0" w:color="auto"/>
            </w:tcBorders>
            <w:shd w:val="clear" w:color="auto" w:fill="auto"/>
          </w:tcPr>
          <w:p w14:paraId="4E042ED2" w14:textId="77777777" w:rsidR="001C78DE" w:rsidRPr="001C78DE" w:rsidRDefault="00F039DE" w:rsidP="00873B69">
            <w:pPr>
              <w:pStyle w:val="TableText"/>
            </w:pPr>
            <w:r w:rsidRPr="001C78DE">
              <w:t>LC50</w:t>
            </w:r>
          </w:p>
        </w:tc>
        <w:tc>
          <w:tcPr>
            <w:tcW w:w="547" w:type="pct"/>
            <w:tcBorders>
              <w:top w:val="single" w:sz="4" w:space="0" w:color="auto"/>
              <w:bottom w:val="single" w:sz="4" w:space="0" w:color="auto"/>
            </w:tcBorders>
            <w:shd w:val="clear" w:color="auto" w:fill="auto"/>
          </w:tcPr>
          <w:p w14:paraId="4E042ED3" w14:textId="77777777" w:rsidR="001C78DE" w:rsidRPr="001C78DE" w:rsidRDefault="00F039DE" w:rsidP="00873B69">
            <w:pPr>
              <w:pStyle w:val="TableText"/>
            </w:pPr>
            <w:r w:rsidRPr="001C78DE">
              <w:t>2</w:t>
            </w:r>
            <w:r w:rsidR="00192FED">
              <w:t> </w:t>
            </w:r>
            <w:r w:rsidRPr="001C78DE">
              <w:t>360</w:t>
            </w:r>
            <w:r w:rsidR="0047142C">
              <w:t xml:space="preserve"> </w:t>
            </w:r>
            <w:r w:rsidR="0047142C" w:rsidRPr="00214188">
              <w:rPr>
                <w:rStyle w:val="Strong"/>
                <w:vertAlign w:val="superscript"/>
              </w:rPr>
              <w:t>c</w:t>
            </w:r>
          </w:p>
        </w:tc>
        <w:tc>
          <w:tcPr>
            <w:tcW w:w="624" w:type="pct"/>
            <w:tcBorders>
              <w:top w:val="single" w:sz="4" w:space="0" w:color="auto"/>
              <w:bottom w:val="single" w:sz="4" w:space="0" w:color="auto"/>
            </w:tcBorders>
            <w:shd w:val="clear" w:color="auto" w:fill="auto"/>
          </w:tcPr>
          <w:p w14:paraId="4E042ED4" w14:textId="77777777" w:rsidR="001C78DE" w:rsidRPr="00873B69" w:rsidRDefault="00F039DE" w:rsidP="00873B69">
            <w:pPr>
              <w:pStyle w:val="TableText"/>
            </w:pPr>
            <w:r w:rsidRPr="00873B69">
              <w:t>236</w:t>
            </w:r>
            <w:r w:rsidR="00873B69">
              <w:t xml:space="preserve"> </w:t>
            </w:r>
            <w:r w:rsidR="00B74744" w:rsidRPr="00B74744">
              <w:rPr>
                <w:rStyle w:val="Strong"/>
                <w:vertAlign w:val="superscript"/>
              </w:rPr>
              <w:t>d</w:t>
            </w:r>
          </w:p>
        </w:tc>
      </w:tr>
      <w:tr w:rsidR="00690C51" w14:paraId="4E042EDE" w14:textId="77777777" w:rsidTr="000F30B2">
        <w:trPr>
          <w:cantSplit/>
        </w:trPr>
        <w:tc>
          <w:tcPr>
            <w:tcW w:w="625" w:type="pct"/>
            <w:vMerge/>
            <w:shd w:val="clear" w:color="auto" w:fill="auto"/>
          </w:tcPr>
          <w:p w14:paraId="4E042ED6" w14:textId="77777777" w:rsidR="001C78DE" w:rsidRPr="001C78DE" w:rsidRDefault="001C78DE" w:rsidP="00873B69">
            <w:pPr>
              <w:pStyle w:val="TableText"/>
            </w:pPr>
          </w:p>
        </w:tc>
        <w:tc>
          <w:tcPr>
            <w:tcW w:w="1094" w:type="pct"/>
            <w:tcBorders>
              <w:top w:val="single" w:sz="4" w:space="0" w:color="auto"/>
              <w:bottom w:val="single" w:sz="4" w:space="0" w:color="auto"/>
            </w:tcBorders>
            <w:shd w:val="clear" w:color="auto" w:fill="auto"/>
          </w:tcPr>
          <w:p w14:paraId="4E042ED7" w14:textId="77777777" w:rsidR="001C78DE" w:rsidRPr="00A27D29" w:rsidRDefault="00F039DE" w:rsidP="00873B69">
            <w:pPr>
              <w:pStyle w:val="TableText"/>
              <w:rPr>
                <w:rStyle w:val="Emphasis"/>
              </w:rPr>
            </w:pPr>
            <w:r w:rsidRPr="00A27D29">
              <w:rPr>
                <w:rStyle w:val="Emphasis"/>
              </w:rPr>
              <w:t>Oncorhynchus mykiss</w:t>
            </w:r>
          </w:p>
        </w:tc>
        <w:tc>
          <w:tcPr>
            <w:tcW w:w="547" w:type="pct"/>
            <w:tcBorders>
              <w:top w:val="single" w:sz="4" w:space="0" w:color="auto"/>
              <w:bottom w:val="single" w:sz="4" w:space="0" w:color="auto"/>
            </w:tcBorders>
            <w:shd w:val="clear" w:color="auto" w:fill="auto"/>
          </w:tcPr>
          <w:p w14:paraId="4E042ED8" w14:textId="77777777" w:rsidR="001C78DE" w:rsidRPr="001C78DE" w:rsidRDefault="00F039DE" w:rsidP="00873B69">
            <w:pPr>
              <w:pStyle w:val="TableText"/>
            </w:pPr>
            <w:r w:rsidRPr="001C78DE">
              <w:t>Embryo</w:t>
            </w:r>
          </w:p>
        </w:tc>
        <w:tc>
          <w:tcPr>
            <w:tcW w:w="547" w:type="pct"/>
            <w:tcBorders>
              <w:top w:val="single" w:sz="4" w:space="0" w:color="auto"/>
              <w:bottom w:val="single" w:sz="4" w:space="0" w:color="auto"/>
            </w:tcBorders>
            <w:shd w:val="clear" w:color="auto" w:fill="auto"/>
          </w:tcPr>
          <w:p w14:paraId="4E042ED9" w14:textId="77777777" w:rsidR="001C78DE" w:rsidRPr="001C78DE" w:rsidRDefault="00F039DE" w:rsidP="00873B69">
            <w:pPr>
              <w:pStyle w:val="TableText"/>
            </w:pPr>
            <w:r w:rsidRPr="001C78DE">
              <w:t>1</w:t>
            </w:r>
            <w:r w:rsidR="00192FED">
              <w:t> </w:t>
            </w:r>
            <w:r w:rsidRPr="001C78DE">
              <w:t>440</w:t>
            </w:r>
          </w:p>
        </w:tc>
        <w:tc>
          <w:tcPr>
            <w:tcW w:w="470" w:type="pct"/>
            <w:tcBorders>
              <w:top w:val="single" w:sz="4" w:space="0" w:color="auto"/>
              <w:bottom w:val="single" w:sz="4" w:space="0" w:color="auto"/>
            </w:tcBorders>
            <w:shd w:val="clear" w:color="auto" w:fill="auto"/>
          </w:tcPr>
          <w:p w14:paraId="4E042EDA" w14:textId="77777777" w:rsidR="001C78DE" w:rsidRPr="001C78DE" w:rsidRDefault="00F039DE" w:rsidP="00873B69">
            <w:pPr>
              <w:pStyle w:val="TableText"/>
            </w:pPr>
            <w:r w:rsidRPr="001C78DE">
              <w:t>Chronic</w:t>
            </w:r>
          </w:p>
        </w:tc>
        <w:tc>
          <w:tcPr>
            <w:tcW w:w="546" w:type="pct"/>
            <w:tcBorders>
              <w:top w:val="single" w:sz="4" w:space="0" w:color="auto"/>
              <w:bottom w:val="single" w:sz="4" w:space="0" w:color="auto"/>
            </w:tcBorders>
            <w:shd w:val="clear" w:color="auto" w:fill="auto"/>
          </w:tcPr>
          <w:p w14:paraId="4E042EDB" w14:textId="77777777" w:rsidR="001C78DE" w:rsidRPr="001C78DE" w:rsidRDefault="00F039DE" w:rsidP="00873B69">
            <w:pPr>
              <w:pStyle w:val="TableText"/>
            </w:pPr>
            <w:r w:rsidRPr="001C78DE">
              <w:t>NOEC</w:t>
            </w:r>
          </w:p>
        </w:tc>
        <w:tc>
          <w:tcPr>
            <w:tcW w:w="547" w:type="pct"/>
            <w:tcBorders>
              <w:top w:val="single" w:sz="4" w:space="0" w:color="auto"/>
              <w:bottom w:val="single" w:sz="4" w:space="0" w:color="auto"/>
            </w:tcBorders>
            <w:shd w:val="clear" w:color="auto" w:fill="auto"/>
          </w:tcPr>
          <w:p w14:paraId="4E042EDC" w14:textId="77777777" w:rsidR="001C78DE" w:rsidRPr="001C78DE" w:rsidRDefault="00F039DE" w:rsidP="00873B69">
            <w:pPr>
              <w:pStyle w:val="TableText"/>
            </w:pPr>
            <w:r w:rsidRPr="001C78DE">
              <w:t>550</w:t>
            </w:r>
          </w:p>
        </w:tc>
        <w:tc>
          <w:tcPr>
            <w:tcW w:w="624" w:type="pct"/>
            <w:tcBorders>
              <w:top w:val="single" w:sz="4" w:space="0" w:color="auto"/>
              <w:bottom w:val="single" w:sz="4" w:space="0" w:color="auto"/>
            </w:tcBorders>
            <w:shd w:val="clear" w:color="auto" w:fill="auto"/>
          </w:tcPr>
          <w:p w14:paraId="4E042EDD" w14:textId="77777777" w:rsidR="001C78DE" w:rsidRPr="00873B69" w:rsidRDefault="00F039DE" w:rsidP="00873B69">
            <w:pPr>
              <w:pStyle w:val="TableText"/>
            </w:pPr>
            <w:r w:rsidRPr="00873B69">
              <w:t>550</w:t>
            </w:r>
            <w:r w:rsidR="00873B69">
              <w:t xml:space="preserve"> </w:t>
            </w:r>
            <w:r w:rsidR="00B74744" w:rsidRPr="00B74744">
              <w:rPr>
                <w:rStyle w:val="Strong"/>
                <w:vertAlign w:val="superscript"/>
              </w:rPr>
              <w:t>b</w:t>
            </w:r>
          </w:p>
        </w:tc>
      </w:tr>
      <w:tr w:rsidR="00690C51" w14:paraId="4E042EE7" w14:textId="77777777" w:rsidTr="000F30B2">
        <w:trPr>
          <w:cantSplit/>
        </w:trPr>
        <w:tc>
          <w:tcPr>
            <w:tcW w:w="625" w:type="pct"/>
            <w:vMerge/>
            <w:shd w:val="clear" w:color="auto" w:fill="auto"/>
          </w:tcPr>
          <w:p w14:paraId="4E042EDF" w14:textId="77777777" w:rsidR="001C78DE" w:rsidRPr="001C78DE" w:rsidRDefault="001C78DE" w:rsidP="00873B69">
            <w:pPr>
              <w:pStyle w:val="TableText"/>
            </w:pPr>
          </w:p>
        </w:tc>
        <w:tc>
          <w:tcPr>
            <w:tcW w:w="1094" w:type="pct"/>
            <w:tcBorders>
              <w:top w:val="single" w:sz="4" w:space="0" w:color="auto"/>
              <w:bottom w:val="single" w:sz="4" w:space="0" w:color="auto"/>
            </w:tcBorders>
            <w:shd w:val="clear" w:color="auto" w:fill="auto"/>
          </w:tcPr>
          <w:p w14:paraId="4E042EE0" w14:textId="77777777" w:rsidR="001C78DE" w:rsidRPr="00A27D29" w:rsidRDefault="00F039DE" w:rsidP="00873B69">
            <w:pPr>
              <w:pStyle w:val="TableText"/>
              <w:rPr>
                <w:rStyle w:val="Emphasis"/>
              </w:rPr>
            </w:pPr>
            <w:r w:rsidRPr="00A27D29">
              <w:rPr>
                <w:rStyle w:val="Emphasis"/>
              </w:rPr>
              <w:t>Lepomis macrochirus</w:t>
            </w:r>
          </w:p>
        </w:tc>
        <w:tc>
          <w:tcPr>
            <w:tcW w:w="547" w:type="pct"/>
            <w:tcBorders>
              <w:top w:val="single" w:sz="4" w:space="0" w:color="auto"/>
              <w:bottom w:val="single" w:sz="4" w:space="0" w:color="auto"/>
            </w:tcBorders>
            <w:shd w:val="clear" w:color="auto" w:fill="auto"/>
          </w:tcPr>
          <w:p w14:paraId="4E042EE1" w14:textId="77777777" w:rsidR="001C78DE" w:rsidRPr="001C78DE" w:rsidRDefault="00F039DE" w:rsidP="00873B69">
            <w:pPr>
              <w:pStyle w:val="TableText"/>
            </w:pPr>
            <w:r w:rsidRPr="001C78DE">
              <w:t>Juvenile</w:t>
            </w:r>
          </w:p>
        </w:tc>
        <w:tc>
          <w:tcPr>
            <w:tcW w:w="547" w:type="pct"/>
            <w:tcBorders>
              <w:top w:val="single" w:sz="4" w:space="0" w:color="auto"/>
              <w:bottom w:val="single" w:sz="4" w:space="0" w:color="auto"/>
            </w:tcBorders>
            <w:shd w:val="clear" w:color="auto" w:fill="auto"/>
          </w:tcPr>
          <w:p w14:paraId="4E042EE2" w14:textId="77777777" w:rsidR="001C78DE" w:rsidRPr="001C78DE" w:rsidRDefault="00F039DE" w:rsidP="00873B69">
            <w:pPr>
              <w:pStyle w:val="TableText"/>
            </w:pPr>
            <w:r w:rsidRPr="001C78DE">
              <w:t>96</w:t>
            </w:r>
          </w:p>
        </w:tc>
        <w:tc>
          <w:tcPr>
            <w:tcW w:w="470" w:type="pct"/>
            <w:tcBorders>
              <w:top w:val="single" w:sz="4" w:space="0" w:color="auto"/>
              <w:bottom w:val="single" w:sz="4" w:space="0" w:color="auto"/>
            </w:tcBorders>
            <w:shd w:val="clear" w:color="auto" w:fill="auto"/>
          </w:tcPr>
          <w:p w14:paraId="4E042EE3" w14:textId="77777777" w:rsidR="001C78DE" w:rsidRPr="001C78DE" w:rsidRDefault="00F039DE" w:rsidP="00873B69">
            <w:pPr>
              <w:pStyle w:val="TableText"/>
            </w:pPr>
            <w:r w:rsidRPr="001C78DE">
              <w:t>Acute</w:t>
            </w:r>
          </w:p>
        </w:tc>
        <w:tc>
          <w:tcPr>
            <w:tcW w:w="546" w:type="pct"/>
            <w:tcBorders>
              <w:top w:val="single" w:sz="4" w:space="0" w:color="auto"/>
              <w:bottom w:val="single" w:sz="4" w:space="0" w:color="auto"/>
            </w:tcBorders>
            <w:shd w:val="clear" w:color="auto" w:fill="auto"/>
          </w:tcPr>
          <w:p w14:paraId="4E042EE4" w14:textId="77777777" w:rsidR="001C78DE" w:rsidRPr="001C78DE" w:rsidRDefault="00F039DE" w:rsidP="00873B69">
            <w:pPr>
              <w:pStyle w:val="TableText"/>
            </w:pPr>
            <w:r w:rsidRPr="001C78DE">
              <w:t>LC50</w:t>
            </w:r>
          </w:p>
        </w:tc>
        <w:tc>
          <w:tcPr>
            <w:tcW w:w="547" w:type="pct"/>
            <w:tcBorders>
              <w:top w:val="single" w:sz="4" w:space="0" w:color="auto"/>
              <w:bottom w:val="single" w:sz="4" w:space="0" w:color="auto"/>
            </w:tcBorders>
            <w:shd w:val="clear" w:color="auto" w:fill="auto"/>
          </w:tcPr>
          <w:p w14:paraId="4E042EE5" w14:textId="77777777" w:rsidR="001C78DE" w:rsidRPr="001C78DE" w:rsidRDefault="00F039DE" w:rsidP="00873B69">
            <w:pPr>
              <w:pStyle w:val="TableText"/>
            </w:pPr>
            <w:r w:rsidRPr="001C78DE">
              <w:t>2</w:t>
            </w:r>
            <w:r w:rsidR="00BB663D">
              <w:t>2</w:t>
            </w:r>
            <w:r w:rsidR="00192FED">
              <w:t> </w:t>
            </w:r>
            <w:r w:rsidR="00BB663D">
              <w:t>260</w:t>
            </w:r>
            <w:r w:rsidR="0047142C">
              <w:t xml:space="preserve"> </w:t>
            </w:r>
            <w:r w:rsidR="0047142C" w:rsidRPr="00214188">
              <w:rPr>
                <w:rStyle w:val="Strong"/>
                <w:vertAlign w:val="superscript"/>
              </w:rPr>
              <w:t>c</w:t>
            </w:r>
          </w:p>
        </w:tc>
        <w:tc>
          <w:tcPr>
            <w:tcW w:w="624" w:type="pct"/>
            <w:tcBorders>
              <w:top w:val="single" w:sz="4" w:space="0" w:color="auto"/>
              <w:bottom w:val="single" w:sz="4" w:space="0" w:color="auto"/>
            </w:tcBorders>
            <w:shd w:val="clear" w:color="auto" w:fill="auto"/>
          </w:tcPr>
          <w:p w14:paraId="4E042EE6" w14:textId="77777777" w:rsidR="001C78DE" w:rsidRPr="00873B69" w:rsidRDefault="00F039DE" w:rsidP="00873B69">
            <w:pPr>
              <w:pStyle w:val="TableText"/>
            </w:pPr>
            <w:r w:rsidRPr="00873B69">
              <w:t>2</w:t>
            </w:r>
            <w:r w:rsidR="00127710">
              <w:t> </w:t>
            </w:r>
            <w:r w:rsidRPr="00873B69">
              <w:t>226</w:t>
            </w:r>
            <w:r w:rsidR="0014344E">
              <w:t xml:space="preserve"> </w:t>
            </w:r>
            <w:r w:rsidR="0014344E" w:rsidRPr="00EB762B">
              <w:rPr>
                <w:rStyle w:val="Strong"/>
                <w:vertAlign w:val="superscript"/>
              </w:rPr>
              <w:t>d</w:t>
            </w:r>
          </w:p>
        </w:tc>
      </w:tr>
      <w:tr w:rsidR="00690C51" w14:paraId="4E042EF0" w14:textId="77777777" w:rsidTr="000F30B2">
        <w:trPr>
          <w:cantSplit/>
        </w:trPr>
        <w:tc>
          <w:tcPr>
            <w:tcW w:w="625" w:type="pct"/>
            <w:vMerge/>
            <w:tcBorders>
              <w:bottom w:val="single" w:sz="12" w:space="0" w:color="auto"/>
            </w:tcBorders>
            <w:shd w:val="clear" w:color="auto" w:fill="auto"/>
          </w:tcPr>
          <w:p w14:paraId="4E042EE8" w14:textId="77777777" w:rsidR="00BB663D" w:rsidRPr="001C78DE" w:rsidRDefault="00BB663D" w:rsidP="00873B69">
            <w:pPr>
              <w:pStyle w:val="TableText"/>
            </w:pPr>
          </w:p>
        </w:tc>
        <w:tc>
          <w:tcPr>
            <w:tcW w:w="1094" w:type="pct"/>
            <w:tcBorders>
              <w:top w:val="single" w:sz="4" w:space="0" w:color="auto"/>
              <w:bottom w:val="single" w:sz="12" w:space="0" w:color="auto"/>
            </w:tcBorders>
            <w:shd w:val="clear" w:color="auto" w:fill="auto"/>
          </w:tcPr>
          <w:p w14:paraId="4E042EE9" w14:textId="77777777" w:rsidR="00BB663D" w:rsidRPr="00A27D29" w:rsidRDefault="00F039DE" w:rsidP="00873B69">
            <w:pPr>
              <w:pStyle w:val="TableText"/>
              <w:rPr>
                <w:rStyle w:val="Emphasis"/>
              </w:rPr>
            </w:pPr>
            <w:r w:rsidRPr="00A27D29">
              <w:rPr>
                <w:rStyle w:val="Emphasis"/>
              </w:rPr>
              <w:t>Pimephales promelas</w:t>
            </w:r>
          </w:p>
        </w:tc>
        <w:tc>
          <w:tcPr>
            <w:tcW w:w="547" w:type="pct"/>
            <w:tcBorders>
              <w:top w:val="single" w:sz="4" w:space="0" w:color="auto"/>
              <w:bottom w:val="single" w:sz="12" w:space="0" w:color="auto"/>
            </w:tcBorders>
            <w:shd w:val="clear" w:color="auto" w:fill="auto"/>
          </w:tcPr>
          <w:p w14:paraId="4E042EEA" w14:textId="77777777" w:rsidR="00BB663D" w:rsidRPr="001C78DE" w:rsidRDefault="00F039DE" w:rsidP="00873B69">
            <w:pPr>
              <w:pStyle w:val="TableText"/>
            </w:pPr>
            <w:r w:rsidRPr="001C78DE">
              <w:t>Juvenile</w:t>
            </w:r>
          </w:p>
        </w:tc>
        <w:tc>
          <w:tcPr>
            <w:tcW w:w="547" w:type="pct"/>
            <w:tcBorders>
              <w:top w:val="single" w:sz="4" w:space="0" w:color="auto"/>
              <w:bottom w:val="single" w:sz="12" w:space="0" w:color="auto"/>
            </w:tcBorders>
            <w:shd w:val="clear" w:color="auto" w:fill="auto"/>
          </w:tcPr>
          <w:p w14:paraId="4E042EEB" w14:textId="77777777" w:rsidR="00BB663D" w:rsidRPr="001C78DE" w:rsidRDefault="00F039DE" w:rsidP="00873B69">
            <w:pPr>
              <w:pStyle w:val="TableText"/>
            </w:pPr>
            <w:r w:rsidRPr="001C78DE">
              <w:t>96</w:t>
            </w:r>
          </w:p>
        </w:tc>
        <w:tc>
          <w:tcPr>
            <w:tcW w:w="470" w:type="pct"/>
            <w:tcBorders>
              <w:top w:val="single" w:sz="4" w:space="0" w:color="auto"/>
              <w:bottom w:val="single" w:sz="12" w:space="0" w:color="auto"/>
            </w:tcBorders>
            <w:shd w:val="clear" w:color="auto" w:fill="auto"/>
          </w:tcPr>
          <w:p w14:paraId="4E042EEC" w14:textId="77777777" w:rsidR="00BB663D" w:rsidRPr="001C78DE" w:rsidRDefault="00F039DE" w:rsidP="00873B69">
            <w:pPr>
              <w:pStyle w:val="TableText"/>
            </w:pPr>
            <w:r w:rsidRPr="001C78DE">
              <w:t>Acute</w:t>
            </w:r>
          </w:p>
        </w:tc>
        <w:tc>
          <w:tcPr>
            <w:tcW w:w="546" w:type="pct"/>
            <w:tcBorders>
              <w:top w:val="single" w:sz="4" w:space="0" w:color="auto"/>
              <w:bottom w:val="single" w:sz="12" w:space="0" w:color="auto"/>
            </w:tcBorders>
            <w:shd w:val="clear" w:color="auto" w:fill="auto"/>
          </w:tcPr>
          <w:p w14:paraId="4E042EED" w14:textId="77777777" w:rsidR="00BB663D" w:rsidRPr="001C78DE" w:rsidRDefault="00F039DE" w:rsidP="00873B69">
            <w:pPr>
              <w:pStyle w:val="TableText"/>
            </w:pPr>
            <w:r w:rsidRPr="001C78DE">
              <w:t>LC50</w:t>
            </w:r>
          </w:p>
        </w:tc>
        <w:tc>
          <w:tcPr>
            <w:tcW w:w="547" w:type="pct"/>
            <w:tcBorders>
              <w:top w:val="single" w:sz="4" w:space="0" w:color="auto"/>
              <w:bottom w:val="single" w:sz="12" w:space="0" w:color="auto"/>
            </w:tcBorders>
            <w:shd w:val="clear" w:color="auto" w:fill="auto"/>
          </w:tcPr>
          <w:p w14:paraId="4E042EEE" w14:textId="77777777" w:rsidR="00BB663D" w:rsidRPr="001C78DE" w:rsidRDefault="00F039DE" w:rsidP="00873B69">
            <w:pPr>
              <w:pStyle w:val="TableText"/>
            </w:pPr>
            <w:r>
              <w:t>55</w:t>
            </w:r>
            <w:r w:rsidR="00192FED">
              <w:t> </w:t>
            </w:r>
            <w:r>
              <w:t>300</w:t>
            </w:r>
            <w:r w:rsidR="0047142C">
              <w:t xml:space="preserve"> </w:t>
            </w:r>
            <w:r w:rsidR="0047142C" w:rsidRPr="00214188">
              <w:rPr>
                <w:rStyle w:val="Strong"/>
                <w:vertAlign w:val="superscript"/>
              </w:rPr>
              <w:t>c</w:t>
            </w:r>
          </w:p>
        </w:tc>
        <w:tc>
          <w:tcPr>
            <w:tcW w:w="624" w:type="pct"/>
            <w:tcBorders>
              <w:top w:val="single" w:sz="4" w:space="0" w:color="auto"/>
              <w:bottom w:val="single" w:sz="12" w:space="0" w:color="auto"/>
            </w:tcBorders>
            <w:shd w:val="clear" w:color="auto" w:fill="auto"/>
          </w:tcPr>
          <w:p w14:paraId="4E042EEF" w14:textId="77777777" w:rsidR="00BB663D" w:rsidRPr="00873B69" w:rsidRDefault="00F039DE" w:rsidP="00873B69">
            <w:pPr>
              <w:pStyle w:val="TableText"/>
            </w:pPr>
            <w:r w:rsidRPr="00873B69">
              <w:t>5</w:t>
            </w:r>
            <w:r w:rsidR="00127710">
              <w:t> </w:t>
            </w:r>
            <w:r w:rsidRPr="00873B69">
              <w:t>530</w:t>
            </w:r>
            <w:r w:rsidR="00143C83">
              <w:t xml:space="preserve"> </w:t>
            </w:r>
            <w:r w:rsidR="00143C83" w:rsidRPr="00EB762B">
              <w:rPr>
                <w:rStyle w:val="Strong"/>
                <w:vertAlign w:val="superscript"/>
              </w:rPr>
              <w:t>d</w:t>
            </w:r>
          </w:p>
        </w:tc>
      </w:tr>
    </w:tbl>
    <w:p w14:paraId="4E042EF1" w14:textId="77777777" w:rsidR="00B74744" w:rsidRDefault="00F039DE" w:rsidP="00873B69">
      <w:pPr>
        <w:pStyle w:val="FigureTableNoteSource"/>
      </w:pPr>
      <w:r>
        <w:t xml:space="preserve">Note: </w:t>
      </w:r>
      <w:r w:rsidRPr="003458AC">
        <w:t>Values are reported to no more than three significant figures.</w:t>
      </w:r>
    </w:p>
    <w:p w14:paraId="4E042EF2" w14:textId="77777777" w:rsidR="00167FF3" w:rsidRPr="00873B69" w:rsidRDefault="00F039DE" w:rsidP="00873B69">
      <w:pPr>
        <w:pStyle w:val="FigureTableNoteSource"/>
      </w:pPr>
      <w:r w:rsidRPr="00B74744">
        <w:rPr>
          <w:rStyle w:val="Strong"/>
        </w:rPr>
        <w:t>a</w:t>
      </w:r>
      <w:r w:rsidRPr="00873B69">
        <w:t xml:space="preserve"> The measure of toxicity being estimated/determined: LC50:</w:t>
      </w:r>
      <w:r w:rsidR="0063475A">
        <w:t xml:space="preserve"> </w:t>
      </w:r>
      <w:r w:rsidRPr="00873B69">
        <w:t>median lethal concentration; NOEC:</w:t>
      </w:r>
      <w:r w:rsidR="0063475A">
        <w:t xml:space="preserve"> </w:t>
      </w:r>
      <w:r w:rsidR="00A840C9">
        <w:t>no</w:t>
      </w:r>
      <w:r w:rsidR="00A840C9" w:rsidRPr="00873B69">
        <w:t xml:space="preserve"> </w:t>
      </w:r>
      <w:r w:rsidRPr="00873B69">
        <w:t>observed effect concentration</w:t>
      </w:r>
      <w:r w:rsidR="00A840C9">
        <w:t>.</w:t>
      </w:r>
    </w:p>
    <w:p w14:paraId="4E042EF3" w14:textId="77777777" w:rsidR="00167FF3" w:rsidRPr="00873B69" w:rsidRDefault="00F039DE" w:rsidP="00873B69">
      <w:pPr>
        <w:pStyle w:val="FigureTableNoteSource"/>
      </w:pPr>
      <w:r>
        <w:rPr>
          <w:rStyle w:val="Strong"/>
        </w:rPr>
        <w:t>b</w:t>
      </w:r>
      <w:r w:rsidRPr="00873B69">
        <w:t xml:space="preserve"> Actual chronic NOEC.</w:t>
      </w:r>
    </w:p>
    <w:p w14:paraId="4E042EF4" w14:textId="77777777" w:rsidR="00E2049A" w:rsidRPr="00873B69" w:rsidRDefault="00F039DE" w:rsidP="00873B69">
      <w:pPr>
        <w:pStyle w:val="FigureTableNoteSource"/>
      </w:pPr>
      <w:r>
        <w:rPr>
          <w:rStyle w:val="Strong"/>
        </w:rPr>
        <w:t>c</w:t>
      </w:r>
      <w:r w:rsidR="00AA6B4A" w:rsidRPr="00873B69">
        <w:t xml:space="preserve"> </w:t>
      </w:r>
      <w:r w:rsidRPr="00873B69">
        <w:t>Geo</w:t>
      </w:r>
      <w:r w:rsidR="009B321C" w:rsidRPr="00873B69">
        <w:t xml:space="preserve">metric </w:t>
      </w:r>
      <w:r w:rsidRPr="00873B69">
        <w:t xml:space="preserve">mean </w:t>
      </w:r>
    </w:p>
    <w:p w14:paraId="4E042EF5" w14:textId="77777777" w:rsidR="00AA6B4A" w:rsidRPr="00873B69" w:rsidRDefault="00F039DE" w:rsidP="00873B69">
      <w:pPr>
        <w:pStyle w:val="FigureTableNoteSource"/>
      </w:pPr>
      <w:r>
        <w:rPr>
          <w:rStyle w:val="Strong"/>
        </w:rPr>
        <w:t>d</w:t>
      </w:r>
      <w:r w:rsidR="00E2049A" w:rsidRPr="00873B69">
        <w:t xml:space="preserve"> </w:t>
      </w:r>
      <w:r w:rsidRPr="00873B69">
        <w:t xml:space="preserve">Default conversion from </w:t>
      </w:r>
      <w:r w:rsidR="00E2049A" w:rsidRPr="00873B69">
        <w:t xml:space="preserve">acute LC50 to chronic </w:t>
      </w:r>
      <w:r w:rsidR="0012362E">
        <w:t>negligible effect value</w:t>
      </w:r>
      <w:r w:rsidR="0012362E" w:rsidRPr="00873B69">
        <w:t xml:space="preserve"> </w:t>
      </w:r>
      <w:r w:rsidRPr="00873B69">
        <w:t>= (</w:t>
      </w:r>
      <w:r w:rsidR="00B84AA1">
        <w:t>a</w:t>
      </w:r>
      <w:r w:rsidR="00E2049A" w:rsidRPr="00873B69">
        <w:t>cute LC50</w:t>
      </w:r>
      <w:r w:rsidR="0012362E">
        <w:t xml:space="preserve"> </w:t>
      </w:r>
      <w:r w:rsidR="00143C83">
        <w:rPr>
          <w:rFonts w:cs="Calibri"/>
        </w:rPr>
        <w:t>÷</w:t>
      </w:r>
      <w:r w:rsidR="0012362E">
        <w:rPr>
          <w:rFonts w:cs="Calibri"/>
        </w:rPr>
        <w:t xml:space="preserve"> </w:t>
      </w:r>
      <w:r w:rsidR="00E2049A" w:rsidRPr="00873B69">
        <w:t>10</w:t>
      </w:r>
      <w:r w:rsidRPr="00873B69">
        <w:t>).</w:t>
      </w:r>
    </w:p>
    <w:p w14:paraId="4E042EF6" w14:textId="77777777" w:rsidR="00167FF3" w:rsidRPr="001C78DE" w:rsidRDefault="00F039DE" w:rsidP="00167FF3">
      <w:pPr>
        <w:pStyle w:val="Heading3"/>
      </w:pPr>
      <w:bookmarkStart w:id="14" w:name="_Toc80543134"/>
      <w:bookmarkEnd w:id="13"/>
      <w:r w:rsidRPr="001C78DE">
        <w:t>Species sensitivity distribution</w:t>
      </w:r>
      <w:bookmarkEnd w:id="14"/>
    </w:p>
    <w:p w14:paraId="4E042EF7" w14:textId="628282E8" w:rsidR="00FF0D05" w:rsidRDefault="00F039DE" w:rsidP="00FF0D05">
      <w:pPr>
        <w:spacing w:after="120"/>
      </w:pPr>
      <w:r w:rsidRPr="001C78DE">
        <w:t xml:space="preserve">The cumulative frequency (species sensitivity) distribution (SSD) of the </w:t>
      </w:r>
      <w:r w:rsidR="00245B2F">
        <w:t>12</w:t>
      </w:r>
      <w:r w:rsidR="00245B2F" w:rsidRPr="001C78DE">
        <w:t xml:space="preserve"> </w:t>
      </w:r>
      <w:r w:rsidRPr="001C78DE">
        <w:t xml:space="preserve">chronic </w:t>
      </w:r>
      <w:r w:rsidR="00B13529">
        <w:t xml:space="preserve">and </w:t>
      </w:r>
      <w:r w:rsidR="00D40F1F">
        <w:t xml:space="preserve">acute (converted to chronic) </w:t>
      </w:r>
      <w:r w:rsidR="001C78DE" w:rsidRPr="001C78DE">
        <w:t>picloram</w:t>
      </w:r>
      <w:r w:rsidRPr="001C78DE">
        <w:t xml:space="preserve"> toxicity data reported in </w:t>
      </w:r>
      <w:r w:rsidR="00B80FD3">
        <w:fldChar w:fldCharType="begin"/>
      </w:r>
      <w:r w:rsidR="00B80FD3">
        <w:instrText xml:space="preserve"> REF _Ref80542641 \h </w:instrText>
      </w:r>
      <w:r w:rsidR="00B80FD3">
        <w:fldChar w:fldCharType="separate"/>
      </w:r>
      <w:r w:rsidR="006700C9">
        <w:t>Table </w:t>
      </w:r>
      <w:r w:rsidR="006700C9">
        <w:rPr>
          <w:noProof/>
        </w:rPr>
        <w:t>1</w:t>
      </w:r>
      <w:r w:rsidR="00B80FD3">
        <w:fldChar w:fldCharType="end"/>
      </w:r>
      <w:r w:rsidRPr="001C78DE">
        <w:t xml:space="preserve"> is shown in</w:t>
      </w:r>
      <w:r>
        <w:t xml:space="preserve"> </w:t>
      </w:r>
      <w:r w:rsidR="006F28FE">
        <w:fldChar w:fldCharType="begin"/>
      </w:r>
      <w:r w:rsidR="006F28FE">
        <w:instrText xml:space="preserve"> REF _Ref80542904 \h </w:instrText>
      </w:r>
      <w:r w:rsidR="006F28FE">
        <w:fldChar w:fldCharType="separate"/>
      </w:r>
      <w:r w:rsidR="006700C9">
        <w:t>Figure </w:t>
      </w:r>
      <w:r w:rsidR="006700C9">
        <w:rPr>
          <w:noProof/>
        </w:rPr>
        <w:t>2</w:t>
      </w:r>
      <w:r w:rsidR="006F28FE">
        <w:fldChar w:fldCharType="end"/>
      </w:r>
      <w:r>
        <w:t>. The model was judged to provide a poor fit to the data (</w:t>
      </w:r>
      <w:r w:rsidR="006F28FE">
        <w:fldChar w:fldCharType="begin"/>
      </w:r>
      <w:r w:rsidR="006F28FE">
        <w:instrText xml:space="preserve"> REF _Ref80542904 \h </w:instrText>
      </w:r>
      <w:r w:rsidR="006F28FE">
        <w:fldChar w:fldCharType="separate"/>
      </w:r>
      <w:r w:rsidR="006700C9">
        <w:t>Figure </w:t>
      </w:r>
      <w:r w:rsidR="006700C9">
        <w:rPr>
          <w:noProof/>
        </w:rPr>
        <w:t>2</w:t>
      </w:r>
      <w:r w:rsidR="006F28FE">
        <w:fldChar w:fldCharType="end"/>
      </w:r>
      <w:r>
        <w:t>).</w:t>
      </w:r>
    </w:p>
    <w:p w14:paraId="4E042EF8" w14:textId="77777777" w:rsidR="00FF0D05" w:rsidRDefault="00F039DE" w:rsidP="00FF0D05">
      <w:pPr>
        <w:spacing w:after="120"/>
      </w:pPr>
      <w:r>
        <w:rPr>
          <w:noProof/>
        </w:rPr>
        <w:drawing>
          <wp:inline distT="0" distB="0" distL="0" distR="0" wp14:anchorId="4E0430E4" wp14:editId="4E0430E5">
            <wp:extent cx="4441190" cy="3955002"/>
            <wp:effectExtent l="0" t="0" r="0" b="7620"/>
            <wp:docPr id="1" name="Picture 1" descr="Species sensitivity distribution, picloram in freshwater &#10;&#10;Figure is a species sensitivity distribution (SSD) that shows 12 species that are potentially affected by concentrations of picloram (microgram per litre). Chronic and acute (converted to chronic) NOEC toxicity dat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61195" name="Picture 1" descr="Species sensitivity distribution, picloram in freshwater &#10;&#10;Figure is a species sensitivity distribution (SSD) that shows 12 species that are potentially affected by concentrations of picloram (microgram per litre). Chronic and acute (converted to chronic) NOEC toxicity data are shown."/>
                    <pic:cNvPicPr>
                      <a:picLocks noChangeAspect="1" noChangeArrowheads="1"/>
                    </pic:cNvPicPr>
                  </pic:nvPicPr>
                  <pic:blipFill>
                    <a:blip r:embed="rId23">
                      <a:extLst>
                        <a:ext uri="{28A0092B-C50C-407E-A947-70E740481C1C}">
                          <a14:useLocalDpi xmlns:a14="http://schemas.microsoft.com/office/drawing/2010/main" val="0"/>
                        </a:ext>
                      </a:extLst>
                    </a:blip>
                    <a:srcRect t="7355" r="5103" b="3619"/>
                    <a:stretch>
                      <a:fillRect/>
                    </a:stretch>
                  </pic:blipFill>
                  <pic:spPr bwMode="auto">
                    <a:xfrm>
                      <a:off x="0" y="0"/>
                      <a:ext cx="4442950" cy="3956569"/>
                    </a:xfrm>
                    <a:prstGeom prst="rect">
                      <a:avLst/>
                    </a:prstGeom>
                    <a:noFill/>
                    <a:ln>
                      <a:noFill/>
                    </a:ln>
                    <a:extLst>
                      <a:ext uri="{53640926-AAD7-44D8-BBD7-CCE9431645EC}">
                        <a14:shadowObscured xmlns:a14="http://schemas.microsoft.com/office/drawing/2010/main"/>
                      </a:ext>
                    </a:extLst>
                  </pic:spPr>
                </pic:pic>
              </a:graphicData>
            </a:graphic>
          </wp:inline>
        </w:drawing>
      </w:r>
    </w:p>
    <w:p w14:paraId="4E042EF9" w14:textId="086AD53D" w:rsidR="00DF3898" w:rsidRPr="00C37417" w:rsidRDefault="00F039DE" w:rsidP="006F28FE">
      <w:pPr>
        <w:pStyle w:val="Caption"/>
        <w:rPr>
          <w:rStyle w:val="FigurecaptionChar"/>
          <w:rFonts w:asciiTheme="minorHAnsi" w:eastAsiaTheme="majorEastAsia" w:hAnsiTheme="minorHAnsi" w:cstheme="majorBidi"/>
          <w:sz w:val="22"/>
          <w:lang w:bidi="ar-SA"/>
        </w:rPr>
      </w:pPr>
      <w:bookmarkStart w:id="15" w:name="_Ref80542904"/>
      <w:bookmarkStart w:id="16" w:name="_Toc80543142"/>
      <w:r>
        <w:t>Figure </w:t>
      </w:r>
      <w:r w:rsidR="006F6974">
        <w:fldChar w:fldCharType="begin"/>
      </w:r>
      <w:r>
        <w:instrText xml:space="preserve"> SEQ Figure \* ARABIC </w:instrText>
      </w:r>
      <w:r w:rsidR="006F6974">
        <w:fldChar w:fldCharType="separate"/>
      </w:r>
      <w:r w:rsidR="006700C9">
        <w:rPr>
          <w:noProof/>
        </w:rPr>
        <w:t>2</w:t>
      </w:r>
      <w:r w:rsidR="006F6974">
        <w:rPr>
          <w:noProof/>
        </w:rPr>
        <w:fldChar w:fldCharType="end"/>
      </w:r>
      <w:bookmarkEnd w:id="15"/>
      <w:r>
        <w:t xml:space="preserve"> </w:t>
      </w:r>
      <w:r w:rsidR="00A0387E">
        <w:t>Species sensitivity</w:t>
      </w:r>
      <w:r w:rsidRPr="00C37417">
        <w:rPr>
          <w:rStyle w:val="FigurecaptionChar"/>
          <w:rFonts w:asciiTheme="minorHAnsi" w:eastAsiaTheme="majorEastAsia" w:hAnsiTheme="minorHAnsi" w:cstheme="majorBidi"/>
          <w:sz w:val="22"/>
          <w:lang w:bidi="ar-SA"/>
        </w:rPr>
        <w:t xml:space="preserve"> distribution</w:t>
      </w:r>
      <w:r w:rsidR="00A0387E">
        <w:rPr>
          <w:rStyle w:val="FigurecaptionChar"/>
          <w:rFonts w:asciiTheme="minorHAnsi" w:eastAsiaTheme="majorEastAsia" w:hAnsiTheme="minorHAnsi" w:cstheme="majorBidi"/>
          <w:sz w:val="22"/>
          <w:lang w:bidi="ar-SA"/>
        </w:rPr>
        <w:t>,</w:t>
      </w:r>
      <w:r w:rsidRPr="00C37417">
        <w:rPr>
          <w:rStyle w:val="FigurecaptionChar"/>
          <w:rFonts w:asciiTheme="minorHAnsi" w:eastAsiaTheme="majorEastAsia" w:hAnsiTheme="minorHAnsi" w:cstheme="majorBidi"/>
          <w:sz w:val="22"/>
          <w:lang w:bidi="ar-SA"/>
        </w:rPr>
        <w:t xml:space="preserve"> </w:t>
      </w:r>
      <w:r w:rsidR="00B13529">
        <w:rPr>
          <w:rStyle w:val="FigurecaptionChar"/>
          <w:rFonts w:asciiTheme="minorHAnsi" w:eastAsiaTheme="majorEastAsia" w:hAnsiTheme="minorHAnsi" w:cstheme="majorBidi"/>
          <w:sz w:val="22"/>
          <w:lang w:bidi="ar-SA"/>
        </w:rPr>
        <w:t>picloram</w:t>
      </w:r>
      <w:r w:rsidRPr="00C37417">
        <w:rPr>
          <w:rStyle w:val="FigurecaptionChar"/>
          <w:rFonts w:asciiTheme="minorHAnsi" w:eastAsiaTheme="majorEastAsia" w:hAnsiTheme="minorHAnsi" w:cstheme="majorBidi"/>
          <w:sz w:val="22"/>
          <w:lang w:bidi="ar-SA"/>
        </w:rPr>
        <w:t xml:space="preserve"> </w:t>
      </w:r>
      <w:r w:rsidR="00A0387E">
        <w:rPr>
          <w:rStyle w:val="FigurecaptionChar"/>
          <w:rFonts w:asciiTheme="minorHAnsi" w:eastAsiaTheme="majorEastAsia" w:hAnsiTheme="minorHAnsi" w:cstheme="majorBidi"/>
          <w:sz w:val="22"/>
          <w:lang w:bidi="ar-SA"/>
        </w:rPr>
        <w:t xml:space="preserve">in </w:t>
      </w:r>
      <w:r w:rsidRPr="00C37417">
        <w:rPr>
          <w:rStyle w:val="FigurecaptionChar"/>
          <w:rFonts w:asciiTheme="minorHAnsi" w:eastAsiaTheme="majorEastAsia" w:hAnsiTheme="minorHAnsi" w:cstheme="majorBidi"/>
          <w:sz w:val="22"/>
          <w:lang w:bidi="ar-SA"/>
        </w:rPr>
        <w:t>freshwater</w:t>
      </w:r>
      <w:bookmarkEnd w:id="16"/>
      <w:r w:rsidRPr="00C37417">
        <w:rPr>
          <w:rStyle w:val="FigurecaptionChar"/>
          <w:rFonts w:asciiTheme="minorHAnsi" w:eastAsiaTheme="majorEastAsia" w:hAnsiTheme="minorHAnsi" w:cstheme="majorBidi"/>
          <w:sz w:val="22"/>
          <w:lang w:bidi="ar-SA"/>
        </w:rPr>
        <w:t xml:space="preserve"> </w:t>
      </w:r>
    </w:p>
    <w:p w14:paraId="4E042EFA" w14:textId="77777777" w:rsidR="001303C0" w:rsidRPr="00C03488" w:rsidRDefault="00F039DE" w:rsidP="001303C0">
      <w:pPr>
        <w:pStyle w:val="Heading3"/>
      </w:pPr>
      <w:bookmarkStart w:id="17" w:name="_Toc80543135"/>
      <w:r w:rsidRPr="00C03488">
        <w:t>Default guideline values</w:t>
      </w:r>
      <w:bookmarkEnd w:id="17"/>
    </w:p>
    <w:p w14:paraId="4E042EFB" w14:textId="52E40100" w:rsidR="001303C0" w:rsidRPr="00C03488" w:rsidRDefault="00F039DE" w:rsidP="001303C0">
      <w:r w:rsidRPr="00C03488">
        <w:t xml:space="preserve">It is important that the DGVs </w:t>
      </w:r>
      <w:r w:rsidR="009D54BA" w:rsidRPr="00C03488">
        <w:t>(</w:t>
      </w:r>
      <w:r w:rsidR="00A17B6B">
        <w:fldChar w:fldCharType="begin"/>
      </w:r>
      <w:r w:rsidR="00A17B6B">
        <w:instrText xml:space="preserve"> REF _Ref80542738 \h </w:instrText>
      </w:r>
      <w:r w:rsidR="00A17B6B">
        <w:fldChar w:fldCharType="separate"/>
      </w:r>
      <w:r w:rsidR="006700C9">
        <w:t>Table </w:t>
      </w:r>
      <w:r w:rsidR="006700C9">
        <w:rPr>
          <w:noProof/>
        </w:rPr>
        <w:t>2</w:t>
      </w:r>
      <w:r w:rsidR="00A17B6B">
        <w:fldChar w:fldCharType="end"/>
      </w:r>
      <w:r w:rsidR="009D54BA" w:rsidRPr="00C03488">
        <w:t xml:space="preserve">) </w:t>
      </w:r>
      <w:r w:rsidRPr="00C03488">
        <w:t xml:space="preserve">and associated information in this technical brief are used in accordance with the detailed guidance provided in the </w:t>
      </w:r>
      <w:r w:rsidRPr="00BE21AA">
        <w:rPr>
          <w:i/>
          <w:iCs/>
        </w:rPr>
        <w:t>Australian and New Zealand Guidelines for Fresh and Marine Water Quality</w:t>
      </w:r>
      <w:r w:rsidRPr="003D49A5">
        <w:t xml:space="preserve"> </w:t>
      </w:r>
      <w:hyperlink r:id="rId24" w:history="1">
        <w:r w:rsidR="00BE21AA">
          <w:rPr>
            <w:rStyle w:val="Hyperlink"/>
          </w:rPr>
          <w:t>website</w:t>
        </w:r>
      </w:hyperlink>
      <w:r w:rsidR="00BE21AA">
        <w:rPr>
          <w:rStyle w:val="Hyperlink"/>
          <w:color w:val="000000" w:themeColor="text1"/>
        </w:rPr>
        <w:t xml:space="preserve"> (ANZG 2018)</w:t>
      </w:r>
      <w:r w:rsidR="00BE21AA">
        <w:t xml:space="preserve">. </w:t>
      </w:r>
    </w:p>
    <w:p w14:paraId="4E042EFC" w14:textId="1A596AC6" w:rsidR="001303C0" w:rsidRDefault="00F039DE" w:rsidP="001303C0">
      <w:pPr>
        <w:rPr>
          <w:bCs/>
        </w:rPr>
      </w:pPr>
      <w:r w:rsidRPr="00C03488">
        <w:rPr>
          <w:bCs/>
        </w:rPr>
        <w:lastRenderedPageBreak/>
        <w:t xml:space="preserve">The </w:t>
      </w:r>
      <w:r w:rsidR="00C03488" w:rsidRPr="00C03488">
        <w:rPr>
          <w:bCs/>
        </w:rPr>
        <w:t>picloram</w:t>
      </w:r>
      <w:r w:rsidR="00375B3B" w:rsidRPr="00C03488">
        <w:rPr>
          <w:bCs/>
        </w:rPr>
        <w:t xml:space="preserve"> </w:t>
      </w:r>
      <w:r w:rsidRPr="00C03488">
        <w:rPr>
          <w:bCs/>
        </w:rPr>
        <w:t>DGVs for 99</w:t>
      </w:r>
      <w:r w:rsidR="003D49A5">
        <w:rPr>
          <w:bCs/>
        </w:rPr>
        <w:t>%</w:t>
      </w:r>
      <w:r w:rsidRPr="00C03488">
        <w:rPr>
          <w:bCs/>
        </w:rPr>
        <w:t>, 95</w:t>
      </w:r>
      <w:r w:rsidR="003D49A5">
        <w:rPr>
          <w:bCs/>
        </w:rPr>
        <w:t>%</w:t>
      </w:r>
      <w:r w:rsidRPr="00C03488">
        <w:rPr>
          <w:bCs/>
        </w:rPr>
        <w:t>, 90</w:t>
      </w:r>
      <w:r w:rsidR="003D49A5">
        <w:rPr>
          <w:bCs/>
        </w:rPr>
        <w:t>%</w:t>
      </w:r>
      <w:r w:rsidRPr="00C03488">
        <w:rPr>
          <w:bCs/>
        </w:rPr>
        <w:t xml:space="preserve"> and 80% species protection are shown in </w:t>
      </w:r>
      <w:r w:rsidR="00A17B6B">
        <w:rPr>
          <w:bCs/>
        </w:rPr>
        <w:fldChar w:fldCharType="begin"/>
      </w:r>
      <w:r w:rsidR="00A17B6B">
        <w:rPr>
          <w:bCs/>
        </w:rPr>
        <w:instrText xml:space="preserve"> REF _Ref80542738 \h </w:instrText>
      </w:r>
      <w:r w:rsidR="00A17B6B">
        <w:rPr>
          <w:bCs/>
        </w:rPr>
      </w:r>
      <w:r w:rsidR="00A17B6B">
        <w:rPr>
          <w:bCs/>
        </w:rPr>
        <w:fldChar w:fldCharType="separate"/>
      </w:r>
      <w:r w:rsidR="006700C9">
        <w:t>Table </w:t>
      </w:r>
      <w:r w:rsidR="006700C9">
        <w:rPr>
          <w:noProof/>
        </w:rPr>
        <w:t>2</w:t>
      </w:r>
      <w:r w:rsidR="00A17B6B">
        <w:rPr>
          <w:bCs/>
        </w:rPr>
        <w:fldChar w:fldCharType="end"/>
      </w:r>
      <w:r w:rsidRPr="00C03488">
        <w:rPr>
          <w:bCs/>
        </w:rPr>
        <w:t xml:space="preserve">. </w:t>
      </w:r>
      <w:r w:rsidR="00296635">
        <w:t>The</w:t>
      </w:r>
      <w:r w:rsidR="00296635" w:rsidRPr="00BA02DD">
        <w:t xml:space="preserve"> DGVs are expressed in terms of the active ingredient (</w:t>
      </w:r>
      <w:r w:rsidR="00296635">
        <w:t>picloram</w:t>
      </w:r>
      <w:r w:rsidR="00296635" w:rsidRPr="00BA02DD">
        <w:t>) rather than commercial formulations</w:t>
      </w:r>
      <w:r w:rsidR="00296635">
        <w:t>, and do not relate to any of the breakdown products of picloram.</w:t>
      </w:r>
      <w:r w:rsidR="00296635" w:rsidRPr="00C03488">
        <w:rPr>
          <w:bCs/>
        </w:rPr>
        <w:t xml:space="preserve"> </w:t>
      </w:r>
      <w:r w:rsidRPr="00C03488">
        <w:rPr>
          <w:bCs/>
        </w:rPr>
        <w:t xml:space="preserve">The 95% species protection </w:t>
      </w:r>
      <w:r w:rsidR="00DD7301" w:rsidRPr="00C03488">
        <w:rPr>
          <w:bCs/>
        </w:rPr>
        <w:t xml:space="preserve">DGV </w:t>
      </w:r>
      <w:r w:rsidRPr="00C03488">
        <w:rPr>
          <w:bCs/>
        </w:rPr>
        <w:t xml:space="preserve">is </w:t>
      </w:r>
      <w:r w:rsidR="00474D8E">
        <w:rPr>
          <w:bCs/>
        </w:rPr>
        <w:t xml:space="preserve">typically </w:t>
      </w:r>
      <w:r w:rsidRPr="00C03488">
        <w:rPr>
          <w:bCs/>
        </w:rPr>
        <w:t xml:space="preserve">recommended for application </w:t>
      </w:r>
      <w:r w:rsidR="003D49A5">
        <w:rPr>
          <w:bCs/>
        </w:rPr>
        <w:t>to</w:t>
      </w:r>
      <w:r w:rsidR="003D49A5" w:rsidRPr="00C03488">
        <w:rPr>
          <w:bCs/>
        </w:rPr>
        <w:t xml:space="preserve"> </w:t>
      </w:r>
      <w:r w:rsidRPr="00C03488">
        <w:rPr>
          <w:bCs/>
        </w:rPr>
        <w:t>slightly</w:t>
      </w:r>
      <w:r w:rsidR="003D49A5">
        <w:rPr>
          <w:bCs/>
        </w:rPr>
        <w:t>-</w:t>
      </w:r>
      <w:r w:rsidRPr="00C03488">
        <w:rPr>
          <w:bCs/>
        </w:rPr>
        <w:t>to</w:t>
      </w:r>
      <w:r w:rsidR="003D49A5">
        <w:rPr>
          <w:bCs/>
        </w:rPr>
        <w:t>-</w:t>
      </w:r>
      <w:r w:rsidRPr="00C03488">
        <w:rPr>
          <w:bCs/>
        </w:rPr>
        <w:t>moderate</w:t>
      </w:r>
      <w:r w:rsidR="003D49A5">
        <w:rPr>
          <w:bCs/>
        </w:rPr>
        <w:t>ly</w:t>
      </w:r>
      <w:r w:rsidRPr="00C03488">
        <w:rPr>
          <w:bCs/>
        </w:rPr>
        <w:t xml:space="preserve"> disturbed ecosystems</w:t>
      </w:r>
      <w:r w:rsidR="00474D8E">
        <w:rPr>
          <w:bCs/>
        </w:rPr>
        <w:t xml:space="preserve">. However, for picloram, </w:t>
      </w:r>
      <w:r w:rsidR="00D730B2">
        <w:rPr>
          <w:bCs/>
        </w:rPr>
        <w:t xml:space="preserve">also see </w:t>
      </w:r>
      <w:r w:rsidR="00D40F1F">
        <w:rPr>
          <w:bCs/>
        </w:rPr>
        <w:t xml:space="preserve">the </w:t>
      </w:r>
      <w:r w:rsidR="00474D8E" w:rsidRPr="00FB0B1E">
        <w:rPr>
          <w:bCs/>
        </w:rPr>
        <w:t xml:space="preserve">additional guidance </w:t>
      </w:r>
      <w:r w:rsidR="006A70F6">
        <w:rPr>
          <w:bCs/>
        </w:rPr>
        <w:t xml:space="preserve">in </w:t>
      </w:r>
      <w:r w:rsidR="00D56D20">
        <w:rPr>
          <w:bCs/>
        </w:rPr>
        <w:t>Section </w:t>
      </w:r>
      <w:r w:rsidR="00D56D20">
        <w:rPr>
          <w:bCs/>
        </w:rPr>
        <w:fldChar w:fldCharType="begin"/>
      </w:r>
      <w:r w:rsidR="00D56D20">
        <w:rPr>
          <w:bCs/>
        </w:rPr>
        <w:instrText xml:space="preserve"> REF _Ref85196018 \r \h </w:instrText>
      </w:r>
      <w:r w:rsidR="00D56D20">
        <w:rPr>
          <w:bCs/>
        </w:rPr>
      </w:r>
      <w:r w:rsidR="00D56D20">
        <w:rPr>
          <w:bCs/>
        </w:rPr>
        <w:fldChar w:fldCharType="separate"/>
      </w:r>
      <w:r w:rsidR="006700C9">
        <w:rPr>
          <w:bCs/>
        </w:rPr>
        <w:t>4.4</w:t>
      </w:r>
      <w:r w:rsidR="00D56D20">
        <w:rPr>
          <w:bCs/>
        </w:rPr>
        <w:fldChar w:fldCharType="end"/>
      </w:r>
      <w:r w:rsidR="006A70F6">
        <w:rPr>
          <w:bCs/>
        </w:rPr>
        <w:t xml:space="preserve">, </w:t>
      </w:r>
      <w:r w:rsidR="00474D8E" w:rsidRPr="00FB0B1E">
        <w:rPr>
          <w:bCs/>
        </w:rPr>
        <w:t>on application of the DGV</w:t>
      </w:r>
      <w:r w:rsidR="006A70F6">
        <w:rPr>
          <w:bCs/>
        </w:rPr>
        <w:t>s</w:t>
      </w:r>
      <w:r w:rsidRPr="00C03488">
        <w:rPr>
          <w:bCs/>
        </w:rPr>
        <w:t>.</w:t>
      </w:r>
    </w:p>
    <w:p w14:paraId="4E042EFD" w14:textId="71CE2127" w:rsidR="001303C0" w:rsidRPr="003D49A5" w:rsidRDefault="00F039DE" w:rsidP="00B80FD3">
      <w:pPr>
        <w:pStyle w:val="Caption"/>
      </w:pPr>
      <w:bookmarkStart w:id="18" w:name="_Ref80542738"/>
      <w:bookmarkStart w:id="19" w:name="_Toc80543144"/>
      <w:r>
        <w:t>Table </w:t>
      </w:r>
      <w:r w:rsidR="006F6974">
        <w:fldChar w:fldCharType="begin"/>
      </w:r>
      <w:r>
        <w:instrText xml:space="preserve"> SEQ Table \* ARABIC </w:instrText>
      </w:r>
      <w:r w:rsidR="006F6974">
        <w:fldChar w:fldCharType="separate"/>
      </w:r>
      <w:r w:rsidR="006700C9">
        <w:rPr>
          <w:noProof/>
        </w:rPr>
        <w:t>2</w:t>
      </w:r>
      <w:r w:rsidR="006F6974">
        <w:rPr>
          <w:noProof/>
        </w:rPr>
        <w:fldChar w:fldCharType="end"/>
      </w:r>
      <w:bookmarkEnd w:id="18"/>
      <w:r>
        <w:t xml:space="preserve"> </w:t>
      </w:r>
      <w:r w:rsidRPr="003D49A5">
        <w:t xml:space="preserve">Toxicant default guideline values, </w:t>
      </w:r>
      <w:r w:rsidR="00C03488" w:rsidRPr="003D49A5">
        <w:t>picloram</w:t>
      </w:r>
      <w:r w:rsidRPr="003D49A5">
        <w:t xml:space="preserve"> in freshwater, </w:t>
      </w:r>
      <w:r w:rsidR="00B13529" w:rsidRPr="003D49A5">
        <w:t>low</w:t>
      </w:r>
      <w:r w:rsidRPr="003D49A5">
        <w:t xml:space="preserve"> reliability</w:t>
      </w:r>
      <w:bookmarkEnd w:id="1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picloram in freshwater, low reliability"/>
        <w:tblDescription w:val="Table shows the guideline values for a range of protection levels for picloram in freshwater. The four levels of species protection are 99%, 95%, 90% and 80%. The corresponding default guideline values are 6.3, 87, 270 and 850 (microgram per litre), respectively."/>
      </w:tblPr>
      <w:tblGrid>
        <w:gridCol w:w="4535"/>
        <w:gridCol w:w="4535"/>
      </w:tblGrid>
      <w:tr w:rsidR="00690C51" w14:paraId="4E042F00" w14:textId="77777777" w:rsidTr="003D49A5">
        <w:trPr>
          <w:cantSplit/>
          <w:tblHeader/>
        </w:trPr>
        <w:tc>
          <w:tcPr>
            <w:tcW w:w="2500" w:type="pct"/>
            <w:tcBorders>
              <w:top w:val="single" w:sz="12" w:space="0" w:color="auto"/>
              <w:bottom w:val="single" w:sz="12" w:space="0" w:color="auto"/>
            </w:tcBorders>
          </w:tcPr>
          <w:p w14:paraId="4E042EFE" w14:textId="77777777" w:rsidR="001303C0" w:rsidRPr="00C03488" w:rsidRDefault="00F039DE" w:rsidP="007336AC">
            <w:pPr>
              <w:pStyle w:val="TableHeading"/>
            </w:pPr>
            <w:r w:rsidRPr="00C03488">
              <w:t>Level of species protection (%)</w:t>
            </w:r>
          </w:p>
        </w:tc>
        <w:tc>
          <w:tcPr>
            <w:tcW w:w="2500" w:type="pct"/>
            <w:tcBorders>
              <w:top w:val="single" w:sz="12" w:space="0" w:color="auto"/>
              <w:bottom w:val="single" w:sz="12" w:space="0" w:color="auto"/>
            </w:tcBorders>
          </w:tcPr>
          <w:p w14:paraId="4E042EFF" w14:textId="77777777" w:rsidR="001303C0" w:rsidRPr="00C03488" w:rsidRDefault="00F039DE" w:rsidP="007336AC">
            <w:pPr>
              <w:pStyle w:val="TableHeading"/>
              <w:jc w:val="right"/>
            </w:pPr>
            <w:r w:rsidRPr="00C03488">
              <w:t xml:space="preserve">DGV for </w:t>
            </w:r>
            <w:r w:rsidR="00C03488" w:rsidRPr="00C03488">
              <w:t>picloram</w:t>
            </w:r>
            <w:r w:rsidRPr="00C03488">
              <w:t xml:space="preserve"> in freshwater (</w:t>
            </w:r>
            <w:r w:rsidRPr="00C03488">
              <w:rPr>
                <w:rFonts w:ascii="Symbol" w:hAnsi="Symbol"/>
                <w:b w:val="0"/>
              </w:rPr>
              <w:sym w:font="Symbol" w:char="F06D"/>
            </w:r>
            <w:r w:rsidRPr="00C03488">
              <w:t>g/L)</w:t>
            </w:r>
            <w:r w:rsidR="00FF695C">
              <w:t xml:space="preserve"> </w:t>
            </w:r>
            <w:r w:rsidR="009A16B2" w:rsidRPr="00FF695C">
              <w:rPr>
                <w:rStyle w:val="Strong"/>
                <w:vertAlign w:val="superscript"/>
              </w:rPr>
              <w:t>a</w:t>
            </w:r>
          </w:p>
        </w:tc>
      </w:tr>
      <w:tr w:rsidR="00690C51" w14:paraId="4E042F03" w14:textId="77777777" w:rsidTr="003D49A5">
        <w:trPr>
          <w:cantSplit/>
          <w:trHeight w:val="284"/>
        </w:trPr>
        <w:tc>
          <w:tcPr>
            <w:tcW w:w="2500" w:type="pct"/>
            <w:tcBorders>
              <w:top w:val="single" w:sz="12" w:space="0" w:color="auto"/>
              <w:bottom w:val="single" w:sz="4" w:space="0" w:color="auto"/>
            </w:tcBorders>
          </w:tcPr>
          <w:p w14:paraId="4E042F01" w14:textId="77777777" w:rsidR="001303C0" w:rsidRPr="00C03488" w:rsidRDefault="00F039DE" w:rsidP="007336AC">
            <w:pPr>
              <w:pStyle w:val="TableText"/>
              <w:ind w:firstLine="459"/>
            </w:pPr>
            <w:r w:rsidRPr="00C03488">
              <w:t>99</w:t>
            </w:r>
          </w:p>
        </w:tc>
        <w:tc>
          <w:tcPr>
            <w:tcW w:w="2500" w:type="pct"/>
            <w:tcBorders>
              <w:top w:val="single" w:sz="12" w:space="0" w:color="auto"/>
              <w:bottom w:val="single" w:sz="4" w:space="0" w:color="auto"/>
            </w:tcBorders>
          </w:tcPr>
          <w:p w14:paraId="4E042F02" w14:textId="77777777" w:rsidR="001303C0" w:rsidRPr="00C03488" w:rsidRDefault="00F039DE" w:rsidP="007336AC">
            <w:pPr>
              <w:pStyle w:val="TableText"/>
              <w:ind w:right="457"/>
              <w:jc w:val="right"/>
            </w:pPr>
            <w:r w:rsidRPr="00C03488">
              <w:t>6.3</w:t>
            </w:r>
          </w:p>
        </w:tc>
      </w:tr>
      <w:tr w:rsidR="00690C51" w14:paraId="4E042F06" w14:textId="77777777" w:rsidTr="003D49A5">
        <w:trPr>
          <w:cantSplit/>
          <w:trHeight w:val="284"/>
        </w:trPr>
        <w:tc>
          <w:tcPr>
            <w:tcW w:w="2500" w:type="pct"/>
            <w:tcBorders>
              <w:top w:val="single" w:sz="4" w:space="0" w:color="auto"/>
              <w:bottom w:val="single" w:sz="4" w:space="0" w:color="auto"/>
            </w:tcBorders>
          </w:tcPr>
          <w:p w14:paraId="4E042F04" w14:textId="77777777" w:rsidR="001303C0" w:rsidRPr="00C03488" w:rsidRDefault="00F039DE" w:rsidP="007336AC">
            <w:pPr>
              <w:pStyle w:val="TableText"/>
              <w:ind w:firstLine="459"/>
            </w:pPr>
            <w:r w:rsidRPr="00C03488">
              <w:t>95</w:t>
            </w:r>
          </w:p>
        </w:tc>
        <w:tc>
          <w:tcPr>
            <w:tcW w:w="2500" w:type="pct"/>
            <w:tcBorders>
              <w:top w:val="single" w:sz="4" w:space="0" w:color="auto"/>
              <w:bottom w:val="single" w:sz="4" w:space="0" w:color="auto"/>
            </w:tcBorders>
          </w:tcPr>
          <w:p w14:paraId="4E042F05" w14:textId="77777777" w:rsidR="001303C0" w:rsidRPr="00C03488" w:rsidRDefault="00F039DE" w:rsidP="007336AC">
            <w:pPr>
              <w:pStyle w:val="TableText"/>
              <w:ind w:right="457"/>
              <w:jc w:val="right"/>
            </w:pPr>
            <w:r w:rsidRPr="00C03488">
              <w:t>87</w:t>
            </w:r>
          </w:p>
        </w:tc>
      </w:tr>
      <w:tr w:rsidR="00690C51" w14:paraId="4E042F09" w14:textId="77777777" w:rsidTr="003D49A5">
        <w:trPr>
          <w:cantSplit/>
          <w:trHeight w:val="284"/>
        </w:trPr>
        <w:tc>
          <w:tcPr>
            <w:tcW w:w="2500" w:type="pct"/>
            <w:tcBorders>
              <w:top w:val="single" w:sz="4" w:space="0" w:color="auto"/>
              <w:bottom w:val="single" w:sz="4" w:space="0" w:color="auto"/>
            </w:tcBorders>
          </w:tcPr>
          <w:p w14:paraId="4E042F07" w14:textId="77777777" w:rsidR="001303C0" w:rsidRPr="00C03488" w:rsidRDefault="00F039DE" w:rsidP="007336AC">
            <w:pPr>
              <w:pStyle w:val="TableText"/>
              <w:ind w:firstLine="459"/>
            </w:pPr>
            <w:r w:rsidRPr="00C03488">
              <w:t>90</w:t>
            </w:r>
          </w:p>
        </w:tc>
        <w:tc>
          <w:tcPr>
            <w:tcW w:w="2500" w:type="pct"/>
            <w:tcBorders>
              <w:top w:val="single" w:sz="4" w:space="0" w:color="auto"/>
              <w:bottom w:val="single" w:sz="4" w:space="0" w:color="auto"/>
            </w:tcBorders>
          </w:tcPr>
          <w:p w14:paraId="4E042F08" w14:textId="77777777" w:rsidR="001303C0" w:rsidRPr="00C03488" w:rsidRDefault="00F039DE" w:rsidP="007336AC">
            <w:pPr>
              <w:pStyle w:val="TableText"/>
              <w:ind w:right="457"/>
              <w:jc w:val="right"/>
            </w:pPr>
            <w:r w:rsidRPr="00C03488">
              <w:t>27</w:t>
            </w:r>
            <w:r>
              <w:t>0</w:t>
            </w:r>
          </w:p>
        </w:tc>
      </w:tr>
      <w:tr w:rsidR="00690C51" w14:paraId="4E042F0C" w14:textId="77777777" w:rsidTr="003D49A5">
        <w:trPr>
          <w:cantSplit/>
          <w:trHeight w:val="284"/>
        </w:trPr>
        <w:tc>
          <w:tcPr>
            <w:tcW w:w="2500" w:type="pct"/>
            <w:tcBorders>
              <w:top w:val="single" w:sz="4" w:space="0" w:color="auto"/>
              <w:bottom w:val="single" w:sz="12" w:space="0" w:color="auto"/>
            </w:tcBorders>
          </w:tcPr>
          <w:p w14:paraId="4E042F0A" w14:textId="77777777" w:rsidR="001303C0" w:rsidRPr="00C03488" w:rsidRDefault="00F039DE" w:rsidP="007336AC">
            <w:pPr>
              <w:pStyle w:val="TableText"/>
              <w:ind w:firstLine="459"/>
            </w:pPr>
            <w:r w:rsidRPr="00C03488">
              <w:t>80</w:t>
            </w:r>
          </w:p>
        </w:tc>
        <w:tc>
          <w:tcPr>
            <w:tcW w:w="2500" w:type="pct"/>
            <w:tcBorders>
              <w:top w:val="single" w:sz="4" w:space="0" w:color="auto"/>
              <w:bottom w:val="single" w:sz="12" w:space="0" w:color="auto"/>
            </w:tcBorders>
          </w:tcPr>
          <w:p w14:paraId="4E042F0B" w14:textId="77777777" w:rsidR="001303C0" w:rsidRPr="00C03488" w:rsidRDefault="00F039DE" w:rsidP="007336AC">
            <w:pPr>
              <w:pStyle w:val="TableText"/>
              <w:ind w:right="457"/>
              <w:jc w:val="right"/>
            </w:pPr>
            <w:r w:rsidRPr="00C03488">
              <w:t>8</w:t>
            </w:r>
            <w:r>
              <w:t>50</w:t>
            </w:r>
          </w:p>
        </w:tc>
      </w:tr>
    </w:tbl>
    <w:p w14:paraId="4E042F0D" w14:textId="77777777" w:rsidR="009A16B2" w:rsidRPr="00DD6DAE" w:rsidRDefault="00F039DE" w:rsidP="00FF695C">
      <w:pPr>
        <w:pStyle w:val="FigureTableNoteSource"/>
      </w:pPr>
      <w:r w:rsidRPr="00DD6DAE">
        <w:rPr>
          <w:rStyle w:val="Strong"/>
        </w:rPr>
        <w:t>a</w:t>
      </w:r>
      <w:r w:rsidRPr="00DD6DAE">
        <w:t xml:space="preserve"> The DGVs were derived </w:t>
      </w:r>
      <w:r>
        <w:t>using the Burrlioz 2.0 software, and</w:t>
      </w:r>
      <w:r w:rsidRPr="00DD6DAE">
        <w:t xml:space="preserve"> have been roun</w:t>
      </w:r>
      <w:r>
        <w:t>ded to two significant figures.</w:t>
      </w:r>
    </w:p>
    <w:p w14:paraId="4E042F0E" w14:textId="387FD7C5" w:rsidR="00BF1AB6" w:rsidRPr="00C03488" w:rsidRDefault="00F039DE" w:rsidP="00375B3B">
      <w:pPr>
        <w:rPr>
          <w:rFonts w:cs="Arial"/>
        </w:rPr>
      </w:pPr>
      <w:r w:rsidRPr="00C03488">
        <w:rPr>
          <w:rFonts w:cs="Arial"/>
        </w:rPr>
        <w:t xml:space="preserve">The DGVs were compared to the </w:t>
      </w:r>
      <w:r w:rsidR="001C4AED">
        <w:rPr>
          <w:rFonts w:cs="Arial"/>
        </w:rPr>
        <w:t xml:space="preserve">acute </w:t>
      </w:r>
      <w:r w:rsidR="004815C0">
        <w:rPr>
          <w:rFonts w:cs="Arial"/>
        </w:rPr>
        <w:t xml:space="preserve">(converted to chronic) </w:t>
      </w:r>
      <w:r w:rsidR="001C4AED">
        <w:rPr>
          <w:rFonts w:cs="Arial"/>
        </w:rPr>
        <w:t>and</w:t>
      </w:r>
      <w:r w:rsidR="001C4AED" w:rsidRPr="00247AAD">
        <w:rPr>
          <w:rFonts w:cs="Arial"/>
        </w:rPr>
        <w:t xml:space="preserve"> </w:t>
      </w:r>
      <w:r>
        <w:rPr>
          <w:rFonts w:cs="Arial"/>
        </w:rPr>
        <w:t xml:space="preserve">chronic </w:t>
      </w:r>
      <w:r w:rsidRPr="00C03488">
        <w:rPr>
          <w:rFonts w:cs="Arial"/>
        </w:rPr>
        <w:t xml:space="preserve">toxicity data </w:t>
      </w:r>
      <w:r w:rsidR="001C4AED">
        <w:rPr>
          <w:rFonts w:cs="Arial"/>
        </w:rPr>
        <w:t xml:space="preserve">that passed the quality assessment </w:t>
      </w:r>
      <w:r w:rsidR="009B46E4" w:rsidRPr="00C03488">
        <w:rPr>
          <w:rFonts w:cs="Arial"/>
        </w:rPr>
        <w:t>compiled from the literature review</w:t>
      </w:r>
      <w:r>
        <w:rPr>
          <w:rFonts w:cs="Arial"/>
        </w:rPr>
        <w:t xml:space="preserve"> (i.e. 25</w:t>
      </w:r>
      <w:r w:rsidR="001C4AED">
        <w:rPr>
          <w:rFonts w:cs="Arial"/>
        </w:rPr>
        <w:t xml:space="preserve"> acute values from 10 species and</w:t>
      </w:r>
      <w:r>
        <w:rPr>
          <w:rFonts w:cs="Arial"/>
        </w:rPr>
        <w:t xml:space="preserve"> </w:t>
      </w:r>
      <w:r w:rsidR="00AC4B86">
        <w:rPr>
          <w:rFonts w:cs="Arial"/>
        </w:rPr>
        <w:t xml:space="preserve">25 </w:t>
      </w:r>
      <w:r>
        <w:rPr>
          <w:rFonts w:cs="Arial"/>
        </w:rPr>
        <w:t>chronic values for four species</w:t>
      </w:r>
      <w:r w:rsidR="00273AE5">
        <w:rPr>
          <w:rFonts w:cs="Arial"/>
        </w:rPr>
        <w:t>)</w:t>
      </w:r>
      <w:r w:rsidRPr="00C03488">
        <w:t>.</w:t>
      </w:r>
      <w:r w:rsidR="00917E4B" w:rsidRPr="00C03488">
        <w:t xml:space="preserve"> </w:t>
      </w:r>
      <w:r>
        <w:t xml:space="preserve">The </w:t>
      </w:r>
      <w:r w:rsidR="001416D0">
        <w:t xml:space="preserve">80% species protection </w:t>
      </w:r>
      <w:r>
        <w:t xml:space="preserve">DGV </w:t>
      </w:r>
      <w:r w:rsidR="00CE07B7">
        <w:t xml:space="preserve">was </w:t>
      </w:r>
      <w:r>
        <w:t xml:space="preserve">higher than </w:t>
      </w:r>
      <w:r w:rsidR="00116F44">
        <w:t>30</w:t>
      </w:r>
      <w:r>
        <w:t xml:space="preserve">% of the toxicity values, indicating that </w:t>
      </w:r>
      <w:r>
        <w:rPr>
          <w:rFonts w:cs="Arial"/>
        </w:rPr>
        <w:t xml:space="preserve">the protection </w:t>
      </w:r>
      <w:r w:rsidR="001416D0">
        <w:rPr>
          <w:rFonts w:cs="Arial"/>
        </w:rPr>
        <w:t>of</w:t>
      </w:r>
      <w:r>
        <w:rPr>
          <w:rFonts w:cs="Arial"/>
        </w:rPr>
        <w:t xml:space="preserve"> </w:t>
      </w:r>
      <w:r w:rsidR="00FA3767">
        <w:rPr>
          <w:rFonts w:cs="Arial"/>
        </w:rPr>
        <w:t xml:space="preserve">this </w:t>
      </w:r>
      <w:r>
        <w:rPr>
          <w:rFonts w:cs="Arial"/>
        </w:rPr>
        <w:t xml:space="preserve">DGV may be inadequate. This is reflective of the poor fit </w:t>
      </w:r>
      <w:r w:rsidR="00CE07B7">
        <w:rPr>
          <w:rFonts w:cs="Arial"/>
        </w:rPr>
        <w:t xml:space="preserve">in </w:t>
      </w:r>
      <w:r>
        <w:rPr>
          <w:rFonts w:cs="Arial"/>
        </w:rPr>
        <w:t>the SSD (</w:t>
      </w:r>
      <w:r w:rsidR="006F28FE">
        <w:rPr>
          <w:rFonts w:cs="Arial"/>
        </w:rPr>
        <w:fldChar w:fldCharType="begin"/>
      </w:r>
      <w:r w:rsidR="006F28FE">
        <w:rPr>
          <w:rFonts w:cs="Arial"/>
        </w:rPr>
        <w:instrText xml:space="preserve"> REF _Ref80542904 \h </w:instrText>
      </w:r>
      <w:r w:rsidR="006F28FE">
        <w:rPr>
          <w:rFonts w:cs="Arial"/>
        </w:rPr>
      </w:r>
      <w:r w:rsidR="006F28FE">
        <w:rPr>
          <w:rFonts w:cs="Arial"/>
        </w:rPr>
        <w:fldChar w:fldCharType="separate"/>
      </w:r>
      <w:r w:rsidR="006700C9">
        <w:t>Figure </w:t>
      </w:r>
      <w:r w:rsidR="006700C9">
        <w:rPr>
          <w:noProof/>
        </w:rPr>
        <w:t>2</w:t>
      </w:r>
      <w:r w:rsidR="006F28FE">
        <w:rPr>
          <w:rFonts w:cs="Arial"/>
        </w:rPr>
        <w:fldChar w:fldCharType="end"/>
      </w:r>
      <w:r>
        <w:rPr>
          <w:rFonts w:cs="Arial"/>
        </w:rPr>
        <w:t xml:space="preserve">). </w:t>
      </w:r>
      <w:r>
        <w:rPr>
          <w:bCs/>
        </w:rPr>
        <w:t xml:space="preserve">Consequently, </w:t>
      </w:r>
      <w:r w:rsidR="00D540C7">
        <w:t xml:space="preserve">the </w:t>
      </w:r>
      <w:r w:rsidR="00D540C7">
        <w:rPr>
          <w:bCs/>
        </w:rPr>
        <w:t>80% species protection DGV</w:t>
      </w:r>
      <w:r>
        <w:t xml:space="preserve"> </w:t>
      </w:r>
      <w:r w:rsidR="00E94B89">
        <w:t xml:space="preserve">for picloram </w:t>
      </w:r>
      <w:r>
        <w:t xml:space="preserve">is </w:t>
      </w:r>
      <w:r w:rsidR="00D540C7">
        <w:t xml:space="preserve">not </w:t>
      </w:r>
      <w:r>
        <w:t>recommended</w:t>
      </w:r>
      <w:r w:rsidR="00D540C7">
        <w:t xml:space="preserve"> </w:t>
      </w:r>
      <w:r w:rsidR="00E94B89">
        <w:t>for application to highly disturbed ecosy</w:t>
      </w:r>
      <w:r w:rsidR="006700F6">
        <w:t>s</w:t>
      </w:r>
      <w:r w:rsidR="00E94B89">
        <w:t>tems</w:t>
      </w:r>
      <w:r w:rsidR="00F65BBF">
        <w:t>, and a higher species protection level should be applied</w:t>
      </w:r>
      <w:r>
        <w:rPr>
          <w:bCs/>
        </w:rPr>
        <w:t>.</w:t>
      </w:r>
    </w:p>
    <w:p w14:paraId="4E042F0F" w14:textId="77777777" w:rsidR="001303C0" w:rsidRPr="00676C38" w:rsidRDefault="00F039DE" w:rsidP="001303C0">
      <w:pPr>
        <w:pStyle w:val="Heading3"/>
      </w:pPr>
      <w:bookmarkStart w:id="20" w:name="_Toc80543136"/>
      <w:bookmarkStart w:id="21" w:name="_Ref80692710"/>
      <w:bookmarkStart w:id="22" w:name="_Ref85196018"/>
      <w:r w:rsidRPr="00676C38">
        <w:t>Reliability classification</w:t>
      </w:r>
      <w:bookmarkEnd w:id="20"/>
      <w:bookmarkEnd w:id="21"/>
      <w:bookmarkEnd w:id="22"/>
      <w:r w:rsidRPr="00676C38">
        <w:t xml:space="preserve"> </w:t>
      </w:r>
    </w:p>
    <w:p w14:paraId="4E042F10" w14:textId="77777777" w:rsidR="001303C0" w:rsidRPr="00676C38" w:rsidRDefault="00F039DE" w:rsidP="001303C0">
      <w:pPr>
        <w:rPr>
          <w:lang w:eastAsia="ja-JP"/>
        </w:rPr>
      </w:pPr>
      <w:r w:rsidRPr="00676C38">
        <w:rPr>
          <w:lang w:eastAsia="ja-JP"/>
        </w:rPr>
        <w:t xml:space="preserve">The </w:t>
      </w:r>
      <w:r w:rsidR="006662B8">
        <w:rPr>
          <w:lang w:eastAsia="ja-JP"/>
        </w:rPr>
        <w:t>picloram</w:t>
      </w:r>
      <w:r w:rsidR="006662B8" w:rsidRPr="00676C38">
        <w:rPr>
          <w:lang w:eastAsia="ja-JP"/>
        </w:rPr>
        <w:t xml:space="preserve"> </w:t>
      </w:r>
      <w:r w:rsidRPr="00676C38">
        <w:rPr>
          <w:lang w:eastAsia="ja-JP"/>
        </w:rPr>
        <w:t xml:space="preserve">freshwater DGVs have a </w:t>
      </w:r>
      <w:r w:rsidR="00C03488" w:rsidRPr="00676C38">
        <w:rPr>
          <w:lang w:eastAsia="ja-JP"/>
        </w:rPr>
        <w:t>low</w:t>
      </w:r>
      <w:r w:rsidRPr="00676C38">
        <w:rPr>
          <w:lang w:eastAsia="ja-JP"/>
        </w:rPr>
        <w:t xml:space="preserve"> reliability classification (Warne et al. 2018) based on the outcomes for the following three criteria:</w:t>
      </w:r>
    </w:p>
    <w:p w14:paraId="4E042F11" w14:textId="77777777" w:rsidR="001303C0" w:rsidRPr="00676C38" w:rsidRDefault="00F039DE" w:rsidP="001303C0">
      <w:pPr>
        <w:pStyle w:val="ListBullet"/>
        <w:rPr>
          <w:lang w:eastAsia="ja-JP"/>
        </w:rPr>
      </w:pPr>
      <w:r w:rsidRPr="00676C38">
        <w:rPr>
          <w:lang w:eastAsia="ja-JP"/>
        </w:rPr>
        <w:t>Sample size—</w:t>
      </w:r>
      <w:r w:rsidR="000301DE">
        <w:rPr>
          <w:lang w:eastAsia="ja-JP"/>
        </w:rPr>
        <w:t>12</w:t>
      </w:r>
      <w:r w:rsidR="000301DE" w:rsidRPr="00676C38">
        <w:rPr>
          <w:lang w:eastAsia="ja-JP"/>
        </w:rPr>
        <w:t xml:space="preserve"> </w:t>
      </w:r>
      <w:r w:rsidRPr="00676C38">
        <w:rPr>
          <w:lang w:eastAsia="ja-JP"/>
        </w:rPr>
        <w:t>(good)</w:t>
      </w:r>
    </w:p>
    <w:p w14:paraId="4E042F12" w14:textId="77777777" w:rsidR="001303C0" w:rsidRPr="00676C38" w:rsidRDefault="00F039DE" w:rsidP="001303C0">
      <w:pPr>
        <w:pStyle w:val="ListBullet"/>
        <w:rPr>
          <w:lang w:eastAsia="ja-JP"/>
        </w:rPr>
      </w:pPr>
      <w:r w:rsidRPr="00676C38">
        <w:rPr>
          <w:lang w:eastAsia="ja-JP"/>
        </w:rPr>
        <w:t>Type of toxicity data—c</w:t>
      </w:r>
      <w:r w:rsidR="00676C38" w:rsidRPr="00676C38">
        <w:rPr>
          <w:lang w:eastAsia="ja-JP"/>
        </w:rPr>
        <w:t>ombined c</w:t>
      </w:r>
      <w:r w:rsidRPr="00676C38">
        <w:rPr>
          <w:lang w:eastAsia="ja-JP"/>
        </w:rPr>
        <w:t>hronic</w:t>
      </w:r>
      <w:r w:rsidR="00676C38" w:rsidRPr="00676C38">
        <w:rPr>
          <w:lang w:eastAsia="ja-JP"/>
        </w:rPr>
        <w:t xml:space="preserve"> and acute</w:t>
      </w:r>
      <w:r w:rsidRPr="00676C38">
        <w:rPr>
          <w:lang w:eastAsia="ja-JP"/>
        </w:rPr>
        <w:t xml:space="preserve"> </w:t>
      </w:r>
      <w:r w:rsidR="006D3DDB">
        <w:rPr>
          <w:lang w:eastAsia="ja-JP"/>
        </w:rPr>
        <w:t xml:space="preserve">(converted to chronic) </w:t>
      </w:r>
      <w:r w:rsidR="00F43CCC" w:rsidRPr="00676C38">
        <w:rPr>
          <w:lang w:eastAsia="ja-JP"/>
        </w:rPr>
        <w:t>data</w:t>
      </w:r>
    </w:p>
    <w:p w14:paraId="4E042F13" w14:textId="77777777" w:rsidR="001303C0" w:rsidRPr="00676C38" w:rsidRDefault="00F039DE" w:rsidP="001303C0">
      <w:pPr>
        <w:pStyle w:val="ListBullet"/>
        <w:rPr>
          <w:lang w:eastAsia="ja-JP"/>
        </w:rPr>
      </w:pPr>
      <w:r w:rsidRPr="00676C38">
        <w:rPr>
          <w:lang w:eastAsia="ja-JP"/>
        </w:rPr>
        <w:t>SSD model fit—</w:t>
      </w:r>
      <w:r w:rsidR="00F65675" w:rsidRPr="00676C38">
        <w:rPr>
          <w:lang w:eastAsia="ja-JP"/>
        </w:rPr>
        <w:t xml:space="preserve">poor </w:t>
      </w:r>
      <w:r w:rsidRPr="00676C38">
        <w:rPr>
          <w:lang w:eastAsia="ja-JP"/>
        </w:rPr>
        <w:t>(</w:t>
      </w:r>
      <w:r w:rsidR="005D54AD">
        <w:rPr>
          <w:lang w:eastAsia="ja-JP"/>
        </w:rPr>
        <w:t>Inverse Pareto</w:t>
      </w:r>
      <w:r w:rsidRPr="00676C38">
        <w:rPr>
          <w:lang w:eastAsia="ja-JP"/>
        </w:rPr>
        <w:t xml:space="preserve"> model).</w:t>
      </w:r>
    </w:p>
    <w:p w14:paraId="4E042F14" w14:textId="77777777" w:rsidR="001303C0" w:rsidRDefault="00F039DE" w:rsidP="00387CB9">
      <w:r>
        <w:t xml:space="preserve">As recommended in </w:t>
      </w:r>
      <w:hyperlink r:id="rId25" w:anchor="application-of-default-guideline-values" w:history="1">
        <w:r w:rsidRPr="00296635">
          <w:rPr>
            <w:rStyle w:val="Hyperlink"/>
          </w:rPr>
          <w:t>ANZG (2018)</w:t>
        </w:r>
      </w:hyperlink>
      <w:r>
        <w:t xml:space="preserve">, </w:t>
      </w:r>
      <w:r w:rsidRPr="00A03366">
        <w:t xml:space="preserve">low reliability </w:t>
      </w:r>
      <w:r w:rsidR="006D3DDB">
        <w:t>DGVs</w:t>
      </w:r>
      <w:r w:rsidRPr="00A03366">
        <w:t xml:space="preserve"> </w:t>
      </w:r>
      <w:r>
        <w:t>are typically not adequate to</w:t>
      </w:r>
      <w:r w:rsidRPr="00A03366">
        <w:t xml:space="preserve"> assess water quality, but can be used as interim values until </w:t>
      </w:r>
      <w:r>
        <w:t>more reliable values</w:t>
      </w:r>
      <w:r w:rsidRPr="00A03366">
        <w:t xml:space="preserve"> are derived</w:t>
      </w:r>
      <w:r>
        <w:t>. If used as interim values, they</w:t>
      </w:r>
      <w:r w:rsidRPr="00A03366">
        <w:t xml:space="preserve"> </w:t>
      </w:r>
      <w:r w:rsidR="006D3DDB">
        <w:t xml:space="preserve">must </w:t>
      </w:r>
      <w:r w:rsidRPr="00A03366">
        <w:t>be used in conjunction with other lines of evidence.</w:t>
      </w:r>
    </w:p>
    <w:p w14:paraId="4E042F15" w14:textId="77777777" w:rsidR="00387CB9" w:rsidRDefault="00F039DE">
      <w:pPr>
        <w:spacing w:after="0" w:line="240" w:lineRule="auto"/>
      </w:pPr>
      <w:r>
        <w:br w:type="page"/>
      </w:r>
    </w:p>
    <w:p w14:paraId="4E042F16" w14:textId="77777777" w:rsidR="000756BD" w:rsidRPr="00F53CF0" w:rsidRDefault="00F039DE" w:rsidP="00487487">
      <w:pPr>
        <w:pStyle w:val="Heading2"/>
        <w:numPr>
          <w:ilvl w:val="0"/>
          <w:numId w:val="0"/>
        </w:numPr>
        <w:spacing w:after="220"/>
      </w:pPr>
      <w:bookmarkStart w:id="23" w:name="_Toc80543137"/>
      <w:r w:rsidRPr="00F53CF0">
        <w:lastRenderedPageBreak/>
        <w:t>Glossary</w:t>
      </w:r>
      <w:bookmarkEnd w:id="23"/>
    </w:p>
    <w:tbl>
      <w:tblPr>
        <w:tblW w:w="5000" w:type="pct"/>
        <w:tblBorders>
          <w:top w:val="single" w:sz="4" w:space="0" w:color="auto"/>
          <w:bottom w:val="single" w:sz="4" w:space="0" w:color="auto"/>
        </w:tblBorders>
        <w:tblLook w:val="04A0" w:firstRow="1" w:lastRow="0" w:firstColumn="1" w:lastColumn="0" w:noHBand="0" w:noVBand="1"/>
      </w:tblPr>
      <w:tblGrid>
        <w:gridCol w:w="2128"/>
        <w:gridCol w:w="6942"/>
      </w:tblGrid>
      <w:tr w:rsidR="00690C51" w14:paraId="4E042F19" w14:textId="77777777" w:rsidTr="00487487">
        <w:trPr>
          <w:cantSplit/>
          <w:tblHeader/>
        </w:trPr>
        <w:tc>
          <w:tcPr>
            <w:tcW w:w="1173" w:type="pct"/>
            <w:tcBorders>
              <w:top w:val="single" w:sz="12" w:space="0" w:color="auto"/>
              <w:bottom w:val="single" w:sz="12" w:space="0" w:color="auto"/>
            </w:tcBorders>
          </w:tcPr>
          <w:p w14:paraId="4E042F17" w14:textId="77777777" w:rsidR="001303C0" w:rsidRPr="00F53CF0" w:rsidRDefault="00F039DE" w:rsidP="007336AC">
            <w:pPr>
              <w:pStyle w:val="TableHeading"/>
              <w:rPr>
                <w:lang w:eastAsia="ja-JP"/>
              </w:rPr>
            </w:pPr>
            <w:r w:rsidRPr="00F53CF0">
              <w:rPr>
                <w:lang w:eastAsia="ja-JP"/>
              </w:rPr>
              <w:t>Term</w:t>
            </w:r>
          </w:p>
        </w:tc>
        <w:tc>
          <w:tcPr>
            <w:tcW w:w="3827" w:type="pct"/>
            <w:tcBorders>
              <w:top w:val="single" w:sz="12" w:space="0" w:color="auto"/>
              <w:bottom w:val="single" w:sz="12" w:space="0" w:color="auto"/>
            </w:tcBorders>
          </w:tcPr>
          <w:p w14:paraId="4E042F18" w14:textId="77777777" w:rsidR="001303C0" w:rsidRPr="00F53CF0" w:rsidRDefault="00F039DE" w:rsidP="007336AC">
            <w:pPr>
              <w:pStyle w:val="TableHeading"/>
              <w:rPr>
                <w:lang w:eastAsia="ja-JP"/>
              </w:rPr>
            </w:pPr>
            <w:r w:rsidRPr="00F53CF0">
              <w:rPr>
                <w:lang w:eastAsia="ja-JP"/>
              </w:rPr>
              <w:t>Definition</w:t>
            </w:r>
          </w:p>
        </w:tc>
      </w:tr>
      <w:tr w:rsidR="00690C51" w14:paraId="4E042F1C" w14:textId="77777777" w:rsidTr="00487487">
        <w:trPr>
          <w:cantSplit/>
          <w:trHeight w:val="252"/>
        </w:trPr>
        <w:tc>
          <w:tcPr>
            <w:tcW w:w="1173" w:type="pct"/>
            <w:tcBorders>
              <w:top w:val="single" w:sz="12" w:space="0" w:color="auto"/>
              <w:bottom w:val="single" w:sz="4" w:space="0" w:color="auto"/>
            </w:tcBorders>
          </w:tcPr>
          <w:p w14:paraId="4E042F1A" w14:textId="77777777" w:rsidR="002A1751" w:rsidRPr="00F53CF0" w:rsidRDefault="00F039DE" w:rsidP="007336AC">
            <w:pPr>
              <w:pStyle w:val="TableText"/>
              <w:rPr>
                <w:lang w:eastAsia="ja-JP"/>
              </w:rPr>
            </w:pPr>
            <w:r>
              <w:rPr>
                <w:lang w:eastAsia="ja-JP"/>
              </w:rPr>
              <w:t>2</w:t>
            </w:r>
            <w:r w:rsidR="00973836">
              <w:rPr>
                <w:lang w:eastAsia="ja-JP"/>
              </w:rPr>
              <w:t>,</w:t>
            </w:r>
            <w:r>
              <w:rPr>
                <w:lang w:eastAsia="ja-JP"/>
              </w:rPr>
              <w:t>4-D</w:t>
            </w:r>
          </w:p>
        </w:tc>
        <w:tc>
          <w:tcPr>
            <w:tcW w:w="3827" w:type="pct"/>
            <w:tcBorders>
              <w:top w:val="single" w:sz="12" w:space="0" w:color="auto"/>
              <w:bottom w:val="single" w:sz="4" w:space="0" w:color="auto"/>
            </w:tcBorders>
          </w:tcPr>
          <w:p w14:paraId="4E042F1B" w14:textId="77777777" w:rsidR="002A1751" w:rsidRPr="00F53CF0" w:rsidRDefault="00F039DE" w:rsidP="007336AC">
            <w:pPr>
              <w:pStyle w:val="TableText"/>
              <w:rPr>
                <w:lang w:eastAsia="ja-JP"/>
              </w:rPr>
            </w:pPr>
            <w:r>
              <w:rPr>
                <w:bCs/>
              </w:rPr>
              <w:t>2,4-dichlorophenoxyacetic acid</w:t>
            </w:r>
            <w:r w:rsidR="00973836">
              <w:rPr>
                <w:bCs/>
              </w:rPr>
              <w:t>.</w:t>
            </w:r>
          </w:p>
        </w:tc>
      </w:tr>
      <w:tr w:rsidR="00690C51" w14:paraId="4E042F1F" w14:textId="77777777" w:rsidTr="00487487">
        <w:trPr>
          <w:cantSplit/>
        </w:trPr>
        <w:tc>
          <w:tcPr>
            <w:tcW w:w="1173" w:type="pct"/>
            <w:tcBorders>
              <w:top w:val="single" w:sz="4" w:space="0" w:color="auto"/>
              <w:bottom w:val="single" w:sz="4" w:space="0" w:color="auto"/>
            </w:tcBorders>
          </w:tcPr>
          <w:p w14:paraId="4E042F1D" w14:textId="77777777" w:rsidR="001303C0" w:rsidRPr="00F53CF0" w:rsidRDefault="00F039DE" w:rsidP="007336AC">
            <w:pPr>
              <w:pStyle w:val="TableText"/>
              <w:rPr>
                <w:lang w:eastAsia="ja-JP"/>
              </w:rPr>
            </w:pPr>
            <w:r w:rsidRPr="00F53CF0">
              <w:rPr>
                <w:lang w:eastAsia="ja-JP"/>
              </w:rPr>
              <w:t>acute toxicity</w:t>
            </w:r>
          </w:p>
        </w:tc>
        <w:tc>
          <w:tcPr>
            <w:tcW w:w="3827" w:type="pct"/>
            <w:tcBorders>
              <w:top w:val="single" w:sz="4" w:space="0" w:color="auto"/>
              <w:bottom w:val="single" w:sz="4" w:space="0" w:color="auto"/>
            </w:tcBorders>
          </w:tcPr>
          <w:p w14:paraId="4E042F1E" w14:textId="77777777" w:rsidR="001303C0" w:rsidRPr="00F53CF0" w:rsidRDefault="00F039DE" w:rsidP="007336AC">
            <w:pPr>
              <w:pStyle w:val="TableText"/>
              <w:rPr>
                <w:lang w:eastAsia="ja-JP"/>
              </w:rPr>
            </w:pPr>
            <w:r w:rsidRPr="00F53CF0">
              <w:rPr>
                <w:lang w:eastAsia="ja-JP"/>
              </w:rPr>
              <w:t>A lethal or adverse sub-lethal effect that occurs as the result of a short exposure period to a chemical relative to the organism’s life span.</w:t>
            </w:r>
          </w:p>
        </w:tc>
      </w:tr>
      <w:tr w:rsidR="00690C51" w14:paraId="4E042F22" w14:textId="77777777" w:rsidTr="00487487">
        <w:trPr>
          <w:cantSplit/>
        </w:trPr>
        <w:tc>
          <w:tcPr>
            <w:tcW w:w="1173" w:type="pct"/>
            <w:tcBorders>
              <w:top w:val="single" w:sz="4" w:space="0" w:color="auto"/>
              <w:bottom w:val="single" w:sz="4" w:space="0" w:color="auto"/>
            </w:tcBorders>
          </w:tcPr>
          <w:p w14:paraId="4E042F20" w14:textId="77777777" w:rsidR="001303C0" w:rsidRPr="00F53CF0" w:rsidRDefault="00F039DE" w:rsidP="007336AC">
            <w:pPr>
              <w:pStyle w:val="TableText"/>
              <w:rPr>
                <w:lang w:eastAsia="ja-JP"/>
              </w:rPr>
            </w:pPr>
            <w:r w:rsidRPr="00F53CF0">
              <w:rPr>
                <w:lang w:eastAsia="ja-JP"/>
              </w:rPr>
              <w:t>acute</w:t>
            </w:r>
            <w:r w:rsidR="0027707E">
              <w:rPr>
                <w:lang w:eastAsia="ja-JP"/>
              </w:rPr>
              <w:t>-</w:t>
            </w:r>
            <w:r w:rsidRPr="00F53CF0">
              <w:rPr>
                <w:lang w:eastAsia="ja-JP"/>
              </w:rPr>
              <w:t>to</w:t>
            </w:r>
            <w:r w:rsidR="0027707E">
              <w:rPr>
                <w:lang w:eastAsia="ja-JP"/>
              </w:rPr>
              <w:t>-</w:t>
            </w:r>
            <w:r w:rsidRPr="00F53CF0">
              <w:rPr>
                <w:lang w:eastAsia="ja-JP"/>
              </w:rPr>
              <w:t xml:space="preserve">chronic ratio </w:t>
            </w:r>
            <w:r w:rsidR="00F76A7A" w:rsidRPr="00F53CF0">
              <w:rPr>
                <w:lang w:eastAsia="ja-JP"/>
              </w:rPr>
              <w:t>(ACR)</w:t>
            </w:r>
          </w:p>
        </w:tc>
        <w:tc>
          <w:tcPr>
            <w:tcW w:w="3827" w:type="pct"/>
            <w:tcBorders>
              <w:top w:val="single" w:sz="4" w:space="0" w:color="auto"/>
              <w:bottom w:val="single" w:sz="4" w:space="0" w:color="auto"/>
            </w:tcBorders>
          </w:tcPr>
          <w:p w14:paraId="4E042F21" w14:textId="77777777" w:rsidR="001303C0" w:rsidRPr="00F53CF0" w:rsidRDefault="00F039DE" w:rsidP="007336AC">
            <w:pPr>
              <w:pStyle w:val="TableText"/>
              <w:rPr>
                <w:lang w:eastAsia="ja-JP"/>
              </w:rPr>
            </w:pPr>
            <w:r w:rsidRPr="00F53CF0">
              <w:rPr>
                <w:lang w:eastAsia="ja-JP"/>
              </w:rPr>
              <w:t>The species mean acute value (LC/EC50) divided by the chronic value (e.g. NOEC or EC10) for the same species.</w:t>
            </w:r>
          </w:p>
        </w:tc>
      </w:tr>
      <w:tr w:rsidR="00690C51" w14:paraId="4E042F25" w14:textId="77777777" w:rsidTr="00487487">
        <w:trPr>
          <w:cantSplit/>
        </w:trPr>
        <w:tc>
          <w:tcPr>
            <w:tcW w:w="1173" w:type="pct"/>
            <w:tcBorders>
              <w:top w:val="single" w:sz="4" w:space="0" w:color="auto"/>
              <w:bottom w:val="single" w:sz="4" w:space="0" w:color="auto"/>
            </w:tcBorders>
          </w:tcPr>
          <w:p w14:paraId="4E042F23" w14:textId="77777777" w:rsidR="005B156B" w:rsidRPr="00F53CF0" w:rsidRDefault="00F039DE" w:rsidP="005B156B">
            <w:pPr>
              <w:pStyle w:val="TableText"/>
              <w:rPr>
                <w:lang w:eastAsia="ja-JP"/>
              </w:rPr>
            </w:pPr>
            <w:r w:rsidRPr="00F53CF0">
              <w:t>CAS</w:t>
            </w:r>
            <w:r w:rsidR="0027707E">
              <w:t xml:space="preserve"> </w:t>
            </w:r>
            <w:r w:rsidRPr="00F53CF0">
              <w:t>RN</w:t>
            </w:r>
          </w:p>
        </w:tc>
        <w:tc>
          <w:tcPr>
            <w:tcW w:w="3827" w:type="pct"/>
            <w:tcBorders>
              <w:top w:val="single" w:sz="4" w:space="0" w:color="auto"/>
              <w:bottom w:val="single" w:sz="4" w:space="0" w:color="auto"/>
            </w:tcBorders>
          </w:tcPr>
          <w:p w14:paraId="4E042F24" w14:textId="77777777" w:rsidR="005B156B" w:rsidRPr="00F53CF0" w:rsidRDefault="00F039DE" w:rsidP="005B156B">
            <w:pPr>
              <w:pStyle w:val="TableText"/>
            </w:pPr>
            <w:r w:rsidRPr="00F53CF0">
              <w:t>Chemical Abstracts Service Registry Number</w:t>
            </w:r>
            <w:r w:rsidR="003E7419">
              <w:t>.</w:t>
            </w:r>
          </w:p>
        </w:tc>
      </w:tr>
      <w:tr w:rsidR="00690C51" w14:paraId="4E042F28" w14:textId="77777777" w:rsidTr="00487487">
        <w:trPr>
          <w:cantSplit/>
        </w:trPr>
        <w:tc>
          <w:tcPr>
            <w:tcW w:w="1173" w:type="pct"/>
            <w:tcBorders>
              <w:top w:val="single" w:sz="4" w:space="0" w:color="auto"/>
              <w:bottom w:val="single" w:sz="4" w:space="0" w:color="auto"/>
            </w:tcBorders>
          </w:tcPr>
          <w:p w14:paraId="4E042F26" w14:textId="77777777" w:rsidR="001303C0" w:rsidRPr="00F53CF0" w:rsidRDefault="00F039DE" w:rsidP="007336AC">
            <w:pPr>
              <w:pStyle w:val="TableText"/>
              <w:rPr>
                <w:lang w:eastAsia="ja-JP"/>
              </w:rPr>
            </w:pPr>
            <w:r w:rsidRPr="00F53CF0">
              <w:rPr>
                <w:lang w:eastAsia="ja-JP"/>
              </w:rPr>
              <w:t>chronic toxicity</w:t>
            </w:r>
          </w:p>
        </w:tc>
        <w:tc>
          <w:tcPr>
            <w:tcW w:w="3827" w:type="pct"/>
            <w:tcBorders>
              <w:top w:val="single" w:sz="4" w:space="0" w:color="auto"/>
              <w:bottom w:val="single" w:sz="4" w:space="0" w:color="auto"/>
            </w:tcBorders>
          </w:tcPr>
          <w:p w14:paraId="4E042F27" w14:textId="77777777" w:rsidR="003E7419" w:rsidRPr="00F53CF0" w:rsidRDefault="00F039DE" w:rsidP="007336AC">
            <w:pPr>
              <w:pStyle w:val="TableText"/>
              <w:rPr>
                <w:lang w:eastAsia="ja-JP"/>
              </w:rPr>
            </w:pPr>
            <w:r>
              <w:rPr>
                <w:lang w:eastAsia="ja-JP"/>
              </w:rPr>
              <w:t>A</w:t>
            </w:r>
            <w:r w:rsidRPr="003E7419">
              <w:rPr>
                <w:lang w:eastAsia="ja-JP"/>
              </w:rPr>
              <w:t xml:space="preserve"> lethal or sublethal adverse effect that occurs after exposure to a chemical for a period of time that is a substantial portion of the organism’s life span or an adverse effect on a sensitive early life stage.</w:t>
            </w:r>
          </w:p>
        </w:tc>
      </w:tr>
      <w:tr w:rsidR="00690C51" w14:paraId="4E042F2B" w14:textId="77777777" w:rsidTr="00487487">
        <w:trPr>
          <w:cantSplit/>
        </w:trPr>
        <w:tc>
          <w:tcPr>
            <w:tcW w:w="1173" w:type="pct"/>
            <w:tcBorders>
              <w:top w:val="single" w:sz="4" w:space="0" w:color="auto"/>
              <w:bottom w:val="single" w:sz="4" w:space="0" w:color="auto"/>
            </w:tcBorders>
          </w:tcPr>
          <w:p w14:paraId="4E042F29" w14:textId="77777777" w:rsidR="001303C0" w:rsidRPr="00F53CF0" w:rsidRDefault="00F039DE" w:rsidP="007336AC">
            <w:pPr>
              <w:pStyle w:val="TableText"/>
              <w:rPr>
                <w:lang w:eastAsia="ja-JP"/>
              </w:rPr>
            </w:pPr>
            <w:r w:rsidRPr="00F53CF0">
              <w:rPr>
                <w:lang w:eastAsia="ja-JP"/>
              </w:rPr>
              <w:t>default guideline value (DGV)</w:t>
            </w:r>
          </w:p>
        </w:tc>
        <w:tc>
          <w:tcPr>
            <w:tcW w:w="3827" w:type="pct"/>
            <w:tcBorders>
              <w:top w:val="single" w:sz="4" w:space="0" w:color="auto"/>
              <w:bottom w:val="single" w:sz="4" w:space="0" w:color="auto"/>
            </w:tcBorders>
          </w:tcPr>
          <w:p w14:paraId="4E042F2A" w14:textId="77777777" w:rsidR="003E7419" w:rsidRPr="00F53CF0" w:rsidRDefault="00F039DE" w:rsidP="003E7419">
            <w:pPr>
              <w:pStyle w:val="TableText"/>
              <w:rPr>
                <w:lang w:eastAsia="ja-JP"/>
              </w:rPr>
            </w:pPr>
            <w:r>
              <w:rPr>
                <w:lang w:eastAsia="ja-JP"/>
              </w:rPr>
              <w:t xml:space="preserve">A </w:t>
            </w:r>
            <w:r w:rsidRPr="003E7419">
              <w:rPr>
                <w:lang w:eastAsia="ja-JP"/>
              </w:rPr>
              <w:t>guideline value recommended for generic application in the absence of a more specific guideline value (e.g. a site-specific guideline value) in the Australian and New Zealand Guidelines for Fresh and Marine Water Quality. Formerly known as ‘trigger values’.</w:t>
            </w:r>
          </w:p>
        </w:tc>
      </w:tr>
      <w:tr w:rsidR="00690C51" w14:paraId="4E042F2E" w14:textId="77777777" w:rsidTr="00487487">
        <w:trPr>
          <w:cantSplit/>
        </w:trPr>
        <w:tc>
          <w:tcPr>
            <w:tcW w:w="1173" w:type="pct"/>
            <w:tcBorders>
              <w:top w:val="single" w:sz="4" w:space="0" w:color="auto"/>
              <w:bottom w:val="single" w:sz="4" w:space="0" w:color="auto"/>
            </w:tcBorders>
          </w:tcPr>
          <w:p w14:paraId="4E042F2C" w14:textId="77777777" w:rsidR="00336977" w:rsidRPr="002A1751" w:rsidRDefault="00F039DE" w:rsidP="005B156B">
            <w:pPr>
              <w:pStyle w:val="TableText"/>
              <w:rPr>
                <w:lang w:eastAsia="ja-JP"/>
              </w:rPr>
            </w:pPr>
            <w:r>
              <w:rPr>
                <w:lang w:eastAsia="ja-JP"/>
              </w:rPr>
              <w:t>dicotyledon</w:t>
            </w:r>
          </w:p>
        </w:tc>
        <w:tc>
          <w:tcPr>
            <w:tcW w:w="3827" w:type="pct"/>
            <w:tcBorders>
              <w:top w:val="single" w:sz="4" w:space="0" w:color="auto"/>
              <w:bottom w:val="single" w:sz="4" w:space="0" w:color="auto"/>
            </w:tcBorders>
          </w:tcPr>
          <w:p w14:paraId="4E042F2D" w14:textId="77777777" w:rsidR="00336977" w:rsidRDefault="00F039DE" w:rsidP="005B156B">
            <w:pPr>
              <w:pStyle w:val="TableText"/>
              <w:rPr>
                <w:lang w:eastAsia="ja-JP"/>
              </w:rPr>
            </w:pPr>
            <w:r>
              <w:rPr>
                <w:lang w:eastAsia="ja-JP"/>
              </w:rPr>
              <w:t>A</w:t>
            </w:r>
            <w:r w:rsidRPr="00336977">
              <w:rPr>
                <w:lang w:eastAsia="ja-JP"/>
              </w:rPr>
              <w:t xml:space="preserve"> flowering plant with an embryo that bears two cotyledons (seed leaves). Dicotyledons constitute the larger of the two great divisions of flowering plants</w:t>
            </w:r>
            <w:r w:rsidR="00A970D3">
              <w:rPr>
                <w:lang w:eastAsia="ja-JP"/>
              </w:rPr>
              <w:t xml:space="preserve"> (</w:t>
            </w:r>
            <w:r w:rsidR="007E098E">
              <w:rPr>
                <w:lang w:eastAsia="ja-JP"/>
              </w:rPr>
              <w:t>a</w:t>
            </w:r>
            <w:r w:rsidR="00A970D3">
              <w:rPr>
                <w:lang w:eastAsia="ja-JP"/>
              </w:rPr>
              <w:t>ngiosperms)</w:t>
            </w:r>
            <w:r>
              <w:rPr>
                <w:lang w:eastAsia="ja-JP"/>
              </w:rPr>
              <w:t>.</w:t>
            </w:r>
          </w:p>
        </w:tc>
      </w:tr>
      <w:tr w:rsidR="00690C51" w14:paraId="4E042F31" w14:textId="77777777" w:rsidTr="00487487">
        <w:trPr>
          <w:cantSplit/>
        </w:trPr>
        <w:tc>
          <w:tcPr>
            <w:tcW w:w="1173" w:type="pct"/>
            <w:tcBorders>
              <w:top w:val="single" w:sz="4" w:space="0" w:color="auto"/>
              <w:bottom w:val="single" w:sz="4" w:space="0" w:color="auto"/>
            </w:tcBorders>
          </w:tcPr>
          <w:p w14:paraId="4E042F2F" w14:textId="77777777" w:rsidR="005B156B" w:rsidRPr="002A1751" w:rsidRDefault="00F039DE" w:rsidP="005B156B">
            <w:pPr>
              <w:pStyle w:val="TableText"/>
              <w:rPr>
                <w:lang w:eastAsia="ja-JP"/>
              </w:rPr>
            </w:pPr>
            <w:r w:rsidRPr="002A1751">
              <w:rPr>
                <w:lang w:eastAsia="ja-JP"/>
              </w:rPr>
              <w:t>endpoint</w:t>
            </w:r>
          </w:p>
        </w:tc>
        <w:tc>
          <w:tcPr>
            <w:tcW w:w="3827" w:type="pct"/>
            <w:tcBorders>
              <w:top w:val="single" w:sz="4" w:space="0" w:color="auto"/>
              <w:bottom w:val="single" w:sz="4" w:space="0" w:color="auto"/>
            </w:tcBorders>
          </w:tcPr>
          <w:p w14:paraId="4E042F30" w14:textId="77777777" w:rsidR="003E7419" w:rsidRPr="002A1751" w:rsidRDefault="00F039DE" w:rsidP="005B156B">
            <w:pPr>
              <w:pStyle w:val="TableText"/>
              <w:rPr>
                <w:lang w:eastAsia="ja-JP"/>
              </w:rPr>
            </w:pPr>
            <w:r>
              <w:rPr>
                <w:lang w:eastAsia="ja-JP"/>
              </w:rPr>
              <w:t>T</w:t>
            </w:r>
            <w:r w:rsidRPr="003E7419">
              <w:rPr>
                <w:lang w:eastAsia="ja-JP"/>
              </w:rPr>
              <w:t>he specific response of an organism that is measured in a toxicity test (e.g. mortality, growth, a particular biomarker).</w:t>
            </w:r>
          </w:p>
        </w:tc>
      </w:tr>
      <w:tr w:rsidR="00690C51" w14:paraId="4E042F34" w14:textId="77777777" w:rsidTr="00487487">
        <w:trPr>
          <w:cantSplit/>
        </w:trPr>
        <w:tc>
          <w:tcPr>
            <w:tcW w:w="1173" w:type="pct"/>
            <w:tcBorders>
              <w:top w:val="single" w:sz="4" w:space="0" w:color="auto"/>
              <w:bottom w:val="single" w:sz="4" w:space="0" w:color="auto"/>
            </w:tcBorders>
          </w:tcPr>
          <w:p w14:paraId="4E042F32" w14:textId="77777777" w:rsidR="005B156B" w:rsidRPr="002A1751" w:rsidRDefault="00F039DE" w:rsidP="005B156B">
            <w:pPr>
              <w:pStyle w:val="TableText"/>
              <w:rPr>
                <w:lang w:eastAsia="ja-JP"/>
              </w:rPr>
            </w:pPr>
            <w:r w:rsidRPr="002A1751">
              <w:rPr>
                <w:lang w:eastAsia="ja-JP"/>
              </w:rPr>
              <w:t>guideline value (GV)</w:t>
            </w:r>
          </w:p>
        </w:tc>
        <w:tc>
          <w:tcPr>
            <w:tcW w:w="3827" w:type="pct"/>
            <w:tcBorders>
              <w:top w:val="single" w:sz="4" w:space="0" w:color="auto"/>
              <w:bottom w:val="single" w:sz="4" w:space="0" w:color="auto"/>
            </w:tcBorders>
          </w:tcPr>
          <w:p w14:paraId="4E042F33" w14:textId="77777777" w:rsidR="0075561E" w:rsidRPr="002A1751" w:rsidRDefault="00F039DE" w:rsidP="00C76FB5">
            <w:pPr>
              <w:pStyle w:val="TableText"/>
              <w:rPr>
                <w:lang w:eastAsia="ja-JP"/>
              </w:rPr>
            </w:pPr>
            <w:r w:rsidRPr="002A1751">
              <w:rPr>
                <w:lang w:eastAsia="ja-JP"/>
              </w:rPr>
              <w:t>A measurable quantity (e.g. concentration) or condition of an indicator for a specific community value below which (or above which, in the case of stressors such as pH, dissolved oxygen and many biodiversity responses) there is considered to be a low risk of unacceptable effects occurring to that community value. Guideline values for more than one indicator should be used simultaneously in a multiple lines of evidence approach</w:t>
            </w:r>
            <w:r w:rsidR="005B156B" w:rsidRPr="002A1751">
              <w:rPr>
                <w:lang w:eastAsia="ja-JP"/>
              </w:rPr>
              <w:t>.</w:t>
            </w:r>
            <w:r w:rsidR="00C76FB5">
              <w:rPr>
                <w:lang w:eastAsia="ja-JP"/>
              </w:rPr>
              <w:t xml:space="preserve"> </w:t>
            </w:r>
            <w:r w:rsidR="00C76FB5" w:rsidRPr="00C76FB5">
              <w:rPr>
                <w:lang w:eastAsia="ja-JP"/>
              </w:rPr>
              <w:t>(Also refer to default guideline value and site-specific guideline value.)</w:t>
            </w:r>
          </w:p>
        </w:tc>
      </w:tr>
      <w:tr w:rsidR="00690C51" w14:paraId="4E042F37" w14:textId="77777777" w:rsidTr="00487487">
        <w:trPr>
          <w:cantSplit/>
        </w:trPr>
        <w:tc>
          <w:tcPr>
            <w:tcW w:w="1173" w:type="pct"/>
            <w:tcBorders>
              <w:top w:val="single" w:sz="4" w:space="0" w:color="auto"/>
              <w:bottom w:val="single" w:sz="4" w:space="0" w:color="auto"/>
            </w:tcBorders>
          </w:tcPr>
          <w:p w14:paraId="4E042F35" w14:textId="77777777" w:rsidR="00A970D3" w:rsidRPr="002A1751" w:rsidRDefault="00F039DE" w:rsidP="005B156B">
            <w:pPr>
              <w:pStyle w:val="TableText"/>
              <w:rPr>
                <w:lang w:eastAsia="ja-JP"/>
              </w:rPr>
            </w:pPr>
            <w:r>
              <w:rPr>
                <w:lang w:eastAsia="ja-JP"/>
              </w:rPr>
              <w:t>IUPAC</w:t>
            </w:r>
          </w:p>
        </w:tc>
        <w:tc>
          <w:tcPr>
            <w:tcW w:w="3827" w:type="pct"/>
            <w:tcBorders>
              <w:top w:val="single" w:sz="4" w:space="0" w:color="auto"/>
              <w:bottom w:val="single" w:sz="4" w:space="0" w:color="auto"/>
            </w:tcBorders>
          </w:tcPr>
          <w:p w14:paraId="4E042F36" w14:textId="77777777" w:rsidR="00A970D3" w:rsidRPr="002A1751" w:rsidRDefault="00F039DE" w:rsidP="00A970D3">
            <w:pPr>
              <w:pStyle w:val="TableText"/>
            </w:pPr>
            <w:r>
              <w:t>International Union of Pure and Applied Chemistry</w:t>
            </w:r>
            <w:r w:rsidR="007E098E">
              <w:t>.</w:t>
            </w:r>
          </w:p>
        </w:tc>
      </w:tr>
      <w:tr w:rsidR="00690C51" w14:paraId="4E042F3A" w14:textId="77777777" w:rsidTr="00487487">
        <w:trPr>
          <w:cantSplit/>
        </w:trPr>
        <w:tc>
          <w:tcPr>
            <w:tcW w:w="1173" w:type="pct"/>
            <w:tcBorders>
              <w:top w:val="single" w:sz="4" w:space="0" w:color="auto"/>
              <w:bottom w:val="single" w:sz="4" w:space="0" w:color="auto"/>
            </w:tcBorders>
          </w:tcPr>
          <w:p w14:paraId="4E042F38" w14:textId="77777777" w:rsidR="005B156B" w:rsidRPr="002A1751" w:rsidRDefault="00F039DE" w:rsidP="005B156B">
            <w:pPr>
              <w:pStyle w:val="TableText"/>
              <w:rPr>
                <w:lang w:eastAsia="ja-JP"/>
              </w:rPr>
            </w:pPr>
            <w:r w:rsidRPr="002A1751">
              <w:rPr>
                <w:lang w:eastAsia="ja-JP"/>
              </w:rPr>
              <w:t>K</w:t>
            </w:r>
            <w:r w:rsidR="00387CB9" w:rsidRPr="00844202">
              <w:rPr>
                <w:vertAlign w:val="subscript"/>
                <w:lang w:eastAsia="ja-JP"/>
              </w:rPr>
              <w:t>OW</w:t>
            </w:r>
          </w:p>
        </w:tc>
        <w:tc>
          <w:tcPr>
            <w:tcW w:w="3827" w:type="pct"/>
            <w:tcBorders>
              <w:top w:val="single" w:sz="4" w:space="0" w:color="auto"/>
              <w:bottom w:val="single" w:sz="4" w:space="0" w:color="auto"/>
            </w:tcBorders>
          </w:tcPr>
          <w:p w14:paraId="4E042F39" w14:textId="77777777" w:rsidR="00C76FB5" w:rsidRPr="002A1751" w:rsidRDefault="00F039DE" w:rsidP="005B156B">
            <w:pPr>
              <w:pStyle w:val="TableText"/>
              <w:rPr>
                <w:shd w:val="clear" w:color="auto" w:fill="FFFFFF"/>
              </w:rPr>
            </w:pPr>
            <w:r w:rsidRPr="00C76FB5">
              <w:rPr>
                <w:shd w:val="clear" w:color="auto" w:fill="FFFFFF"/>
              </w:rPr>
              <w:t>The ratio of a chemical’s solubilities in n-octanol and water at equilibrium. The logarithm of K</w:t>
            </w:r>
            <w:r w:rsidRPr="00C76FB5">
              <w:rPr>
                <w:shd w:val="clear" w:color="auto" w:fill="FFFFFF"/>
                <w:vertAlign w:val="subscript"/>
              </w:rPr>
              <w:t>OW</w:t>
            </w:r>
            <w:r w:rsidRPr="00C76FB5">
              <w:rPr>
                <w:shd w:val="clear" w:color="auto" w:fill="FFFFFF"/>
              </w:rPr>
              <w:t xml:space="preserve"> (or P</w:t>
            </w:r>
            <w:r w:rsidRPr="00C76FB5">
              <w:rPr>
                <w:shd w:val="clear" w:color="auto" w:fill="FFFFFF"/>
                <w:vertAlign w:val="subscript"/>
              </w:rPr>
              <w:t>OW</w:t>
            </w:r>
            <w:r w:rsidRPr="00C76FB5">
              <w:rPr>
                <w:shd w:val="clear" w:color="auto" w:fill="FFFFFF"/>
              </w:rPr>
              <w:t>) is used as an indication of a chemical’s propensity for bioconcentration by aquatic organisms.</w:t>
            </w:r>
          </w:p>
        </w:tc>
      </w:tr>
      <w:tr w:rsidR="00690C51" w14:paraId="4E042F3D" w14:textId="77777777" w:rsidTr="00487487">
        <w:trPr>
          <w:cantSplit/>
        </w:trPr>
        <w:tc>
          <w:tcPr>
            <w:tcW w:w="1173" w:type="pct"/>
            <w:tcBorders>
              <w:top w:val="single" w:sz="4" w:space="0" w:color="auto"/>
              <w:bottom w:val="single" w:sz="4" w:space="0" w:color="auto"/>
            </w:tcBorders>
          </w:tcPr>
          <w:p w14:paraId="4E042F3B" w14:textId="77777777" w:rsidR="005B156B" w:rsidRPr="002A1751" w:rsidRDefault="00F039DE" w:rsidP="005B156B">
            <w:pPr>
              <w:pStyle w:val="TableText"/>
              <w:rPr>
                <w:lang w:eastAsia="ja-JP"/>
              </w:rPr>
            </w:pPr>
            <w:r w:rsidRPr="002A1751">
              <w:rPr>
                <w:lang w:eastAsia="ja-JP"/>
              </w:rPr>
              <w:t>LC50 (median lethal concentration)</w:t>
            </w:r>
          </w:p>
        </w:tc>
        <w:tc>
          <w:tcPr>
            <w:tcW w:w="3827" w:type="pct"/>
            <w:tcBorders>
              <w:top w:val="single" w:sz="4" w:space="0" w:color="auto"/>
              <w:bottom w:val="single" w:sz="4" w:space="0" w:color="auto"/>
            </w:tcBorders>
          </w:tcPr>
          <w:p w14:paraId="4E042F3C" w14:textId="77777777" w:rsidR="002E1750" w:rsidRPr="002A1751" w:rsidRDefault="00F039DE" w:rsidP="002E1750">
            <w:pPr>
              <w:pStyle w:val="TableText"/>
            </w:pPr>
            <w:r>
              <w:t>T</w:t>
            </w:r>
            <w:r w:rsidRPr="002E1750">
              <w:t>he concentration of a substance in water or sediment that is estimated to be lethal to 50% of a group of test organisms, relative to the control response, under specified conditions.</w:t>
            </w:r>
          </w:p>
        </w:tc>
      </w:tr>
      <w:tr w:rsidR="00690C51" w14:paraId="4E042F40" w14:textId="77777777" w:rsidTr="00487487">
        <w:trPr>
          <w:cantSplit/>
        </w:trPr>
        <w:tc>
          <w:tcPr>
            <w:tcW w:w="1173" w:type="pct"/>
            <w:tcBorders>
              <w:top w:val="single" w:sz="4" w:space="0" w:color="auto"/>
              <w:bottom w:val="single" w:sz="4" w:space="0" w:color="auto"/>
            </w:tcBorders>
          </w:tcPr>
          <w:p w14:paraId="4E042F3E" w14:textId="77777777" w:rsidR="002A1751" w:rsidRPr="002A1751" w:rsidRDefault="00F039DE" w:rsidP="005B156B">
            <w:pPr>
              <w:pStyle w:val="TableText"/>
              <w:rPr>
                <w:lang w:eastAsia="ja-JP"/>
              </w:rPr>
            </w:pPr>
            <w:r>
              <w:rPr>
                <w:lang w:eastAsia="ja-JP"/>
              </w:rPr>
              <w:t>macrophyte</w:t>
            </w:r>
          </w:p>
        </w:tc>
        <w:tc>
          <w:tcPr>
            <w:tcW w:w="3827" w:type="pct"/>
            <w:tcBorders>
              <w:top w:val="single" w:sz="4" w:space="0" w:color="auto"/>
              <w:bottom w:val="single" w:sz="4" w:space="0" w:color="auto"/>
            </w:tcBorders>
          </w:tcPr>
          <w:p w14:paraId="4E042F3F" w14:textId="77777777" w:rsidR="002A1751" w:rsidRDefault="00F039DE" w:rsidP="005B156B">
            <w:pPr>
              <w:pStyle w:val="TableText"/>
            </w:pPr>
            <w:r>
              <w:t xml:space="preserve">A member of the macroscopic plant life of an area, especially of a body of water; large aquatic plant </w:t>
            </w:r>
          </w:p>
        </w:tc>
      </w:tr>
      <w:tr w:rsidR="00690C51" w14:paraId="4E042F43" w14:textId="77777777" w:rsidTr="00487487">
        <w:trPr>
          <w:cantSplit/>
        </w:trPr>
        <w:tc>
          <w:tcPr>
            <w:tcW w:w="1173" w:type="pct"/>
            <w:tcBorders>
              <w:top w:val="single" w:sz="4" w:space="0" w:color="auto"/>
              <w:bottom w:val="single" w:sz="4" w:space="0" w:color="auto"/>
            </w:tcBorders>
          </w:tcPr>
          <w:p w14:paraId="4E042F41" w14:textId="77777777" w:rsidR="005B156B" w:rsidRPr="002A1751" w:rsidRDefault="00F039DE" w:rsidP="005B156B">
            <w:pPr>
              <w:pStyle w:val="TableText"/>
              <w:rPr>
                <w:lang w:eastAsia="ja-JP"/>
              </w:rPr>
            </w:pPr>
            <w:r w:rsidRPr="002A1751">
              <w:rPr>
                <w:lang w:eastAsia="ja-JP"/>
              </w:rPr>
              <w:t>no observed effect concentration</w:t>
            </w:r>
            <w:r>
              <w:rPr>
                <w:lang w:eastAsia="ja-JP"/>
              </w:rPr>
              <w:t xml:space="preserve"> (</w:t>
            </w:r>
            <w:r w:rsidRPr="002A1751">
              <w:rPr>
                <w:lang w:eastAsia="ja-JP"/>
              </w:rPr>
              <w:t>NOEC</w:t>
            </w:r>
            <w:r>
              <w:rPr>
                <w:lang w:eastAsia="ja-JP"/>
              </w:rPr>
              <w:t>)</w:t>
            </w:r>
            <w:r w:rsidRPr="002A1751">
              <w:rPr>
                <w:lang w:eastAsia="ja-JP"/>
              </w:rPr>
              <w:t xml:space="preserve"> </w:t>
            </w:r>
          </w:p>
        </w:tc>
        <w:tc>
          <w:tcPr>
            <w:tcW w:w="3827" w:type="pct"/>
            <w:tcBorders>
              <w:top w:val="single" w:sz="4" w:space="0" w:color="auto"/>
              <w:bottom w:val="single" w:sz="4" w:space="0" w:color="auto"/>
            </w:tcBorders>
          </w:tcPr>
          <w:p w14:paraId="4E042F42" w14:textId="77777777" w:rsidR="0030766C" w:rsidRPr="002A1751" w:rsidRDefault="00F039DE" w:rsidP="0030766C">
            <w:pPr>
              <w:pStyle w:val="TableText"/>
            </w:pPr>
            <w:r w:rsidRPr="002A1751">
              <w:t>The highest concentration of a material used in a toxicity test that has no statistically significant adverse effect on the exposed population of test organisms as compared with the controls</w:t>
            </w:r>
            <w:r w:rsidR="005B156B" w:rsidRPr="002A1751">
              <w:t>.</w:t>
            </w:r>
          </w:p>
        </w:tc>
      </w:tr>
      <w:tr w:rsidR="00690C51" w14:paraId="4E042F46" w14:textId="77777777" w:rsidTr="00487487">
        <w:trPr>
          <w:cantSplit/>
        </w:trPr>
        <w:tc>
          <w:tcPr>
            <w:tcW w:w="1173" w:type="pct"/>
            <w:tcBorders>
              <w:top w:val="single" w:sz="4" w:space="0" w:color="auto"/>
              <w:bottom w:val="single" w:sz="4" w:space="0" w:color="auto"/>
            </w:tcBorders>
          </w:tcPr>
          <w:p w14:paraId="4E042F44" w14:textId="77777777" w:rsidR="00C76FB5" w:rsidRDefault="00F039DE" w:rsidP="005B156B">
            <w:pPr>
              <w:pStyle w:val="TableText"/>
              <w:rPr>
                <w:lang w:eastAsia="ja-JP"/>
              </w:rPr>
            </w:pPr>
            <w:r>
              <w:rPr>
                <w:lang w:eastAsia="ja-JP"/>
              </w:rPr>
              <w:t>site-specific guideline value</w:t>
            </w:r>
          </w:p>
        </w:tc>
        <w:tc>
          <w:tcPr>
            <w:tcW w:w="3827" w:type="pct"/>
            <w:tcBorders>
              <w:top w:val="single" w:sz="4" w:space="0" w:color="auto"/>
              <w:bottom w:val="single" w:sz="4" w:space="0" w:color="auto"/>
            </w:tcBorders>
          </w:tcPr>
          <w:p w14:paraId="4E042F45" w14:textId="77777777" w:rsidR="00C76FB5" w:rsidRDefault="00F039DE" w:rsidP="005B156B">
            <w:pPr>
              <w:pStyle w:val="TableText"/>
              <w:rPr>
                <w:noProof/>
              </w:rPr>
            </w:pPr>
            <w:r>
              <w:rPr>
                <w:noProof/>
              </w:rPr>
              <w:t>A</w:t>
            </w:r>
            <w:r w:rsidRPr="00F102CA">
              <w:rPr>
                <w:noProof/>
              </w:rPr>
              <w:t xml:space="preserve"> guideline value that is relevant to the specific location or conditions that are the focus of a given assessment or issue</w:t>
            </w:r>
            <w:r>
              <w:rPr>
                <w:noProof/>
              </w:rPr>
              <w:t>.</w:t>
            </w:r>
          </w:p>
        </w:tc>
      </w:tr>
      <w:tr w:rsidR="00690C51" w14:paraId="4E042F49" w14:textId="77777777" w:rsidTr="00487487">
        <w:trPr>
          <w:cantSplit/>
        </w:trPr>
        <w:tc>
          <w:tcPr>
            <w:tcW w:w="1173" w:type="pct"/>
            <w:tcBorders>
              <w:top w:val="single" w:sz="4" w:space="0" w:color="auto"/>
              <w:bottom w:val="single" w:sz="4" w:space="0" w:color="auto"/>
            </w:tcBorders>
          </w:tcPr>
          <w:p w14:paraId="4E042F47" w14:textId="77777777" w:rsidR="005B156B" w:rsidRPr="002A1751" w:rsidRDefault="00F039DE" w:rsidP="005B156B">
            <w:pPr>
              <w:pStyle w:val="TableText"/>
              <w:rPr>
                <w:lang w:eastAsia="ja-JP"/>
              </w:rPr>
            </w:pPr>
            <w:r w:rsidRPr="002A1751">
              <w:rPr>
                <w:lang w:eastAsia="ja-JP"/>
              </w:rPr>
              <w:t xml:space="preserve">species </w:t>
            </w:r>
            <w:r w:rsidR="00BB1292" w:rsidRPr="002A1751">
              <w:rPr>
                <w:lang w:eastAsia="ja-JP"/>
              </w:rPr>
              <w:t>(biological)</w:t>
            </w:r>
          </w:p>
        </w:tc>
        <w:tc>
          <w:tcPr>
            <w:tcW w:w="3827" w:type="pct"/>
            <w:tcBorders>
              <w:top w:val="single" w:sz="4" w:space="0" w:color="auto"/>
              <w:bottom w:val="single" w:sz="4" w:space="0" w:color="auto"/>
            </w:tcBorders>
          </w:tcPr>
          <w:p w14:paraId="4E042F48" w14:textId="77777777" w:rsidR="003831D1" w:rsidRPr="002A1751" w:rsidRDefault="00F039DE" w:rsidP="005B156B">
            <w:pPr>
              <w:pStyle w:val="TableText"/>
            </w:pPr>
            <w:r w:rsidRPr="002A1751">
              <w:t>A group of organisms that resemble each other to a greater degree than members of other groups and that form a reproductively isolated group that will not produce viable offspring if bred with members of another group</w:t>
            </w:r>
            <w:r w:rsidR="005B156B" w:rsidRPr="002A1751">
              <w:t>.</w:t>
            </w:r>
          </w:p>
        </w:tc>
      </w:tr>
      <w:tr w:rsidR="00690C51" w14:paraId="4E042F4C" w14:textId="77777777" w:rsidTr="00487487">
        <w:trPr>
          <w:cantSplit/>
        </w:trPr>
        <w:tc>
          <w:tcPr>
            <w:tcW w:w="1173" w:type="pct"/>
            <w:tcBorders>
              <w:top w:val="single" w:sz="4" w:space="0" w:color="auto"/>
              <w:bottom w:val="single" w:sz="4" w:space="0" w:color="auto"/>
            </w:tcBorders>
          </w:tcPr>
          <w:p w14:paraId="4E042F4A" w14:textId="77777777" w:rsidR="005B156B" w:rsidRPr="002A1751" w:rsidRDefault="00F039DE" w:rsidP="005B156B">
            <w:pPr>
              <w:pStyle w:val="TableText"/>
              <w:rPr>
                <w:lang w:eastAsia="ja-JP"/>
              </w:rPr>
            </w:pPr>
            <w:r w:rsidRPr="002A1751">
              <w:rPr>
                <w:lang w:eastAsia="ja-JP"/>
              </w:rPr>
              <w:t xml:space="preserve">species sensitivity distribution (SSD) </w:t>
            </w:r>
          </w:p>
        </w:tc>
        <w:tc>
          <w:tcPr>
            <w:tcW w:w="3827" w:type="pct"/>
            <w:tcBorders>
              <w:top w:val="single" w:sz="4" w:space="0" w:color="auto"/>
              <w:bottom w:val="single" w:sz="4" w:space="0" w:color="auto"/>
            </w:tcBorders>
          </w:tcPr>
          <w:p w14:paraId="4E042F4B" w14:textId="77777777" w:rsidR="003831D1" w:rsidRPr="002A1751" w:rsidRDefault="00F039DE" w:rsidP="004F75D0">
            <w:pPr>
              <w:pStyle w:val="TableText"/>
              <w:rPr>
                <w:lang w:eastAsia="ja-JP"/>
              </w:rPr>
            </w:pPr>
            <w:r>
              <w:rPr>
                <w:lang w:eastAsia="ja-JP"/>
              </w:rPr>
              <w:t>A</w:t>
            </w:r>
            <w:r w:rsidRPr="003831D1">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690C51" w14:paraId="4E042F4F" w14:textId="77777777" w:rsidTr="00487487">
        <w:trPr>
          <w:cantSplit/>
        </w:trPr>
        <w:tc>
          <w:tcPr>
            <w:tcW w:w="1173" w:type="pct"/>
            <w:tcBorders>
              <w:top w:val="single" w:sz="4" w:space="0" w:color="auto"/>
              <w:bottom w:val="single" w:sz="4" w:space="0" w:color="auto"/>
            </w:tcBorders>
          </w:tcPr>
          <w:p w14:paraId="4E042F4D" w14:textId="77777777" w:rsidR="005B156B" w:rsidRPr="002A1751" w:rsidRDefault="00F039DE" w:rsidP="005B156B">
            <w:pPr>
              <w:pStyle w:val="TableText"/>
              <w:rPr>
                <w:lang w:eastAsia="ja-JP"/>
              </w:rPr>
            </w:pPr>
            <w:r w:rsidRPr="002A1751">
              <w:rPr>
                <w:lang w:eastAsia="ja-JP"/>
              </w:rPr>
              <w:t>toxicity</w:t>
            </w:r>
          </w:p>
        </w:tc>
        <w:tc>
          <w:tcPr>
            <w:tcW w:w="3827" w:type="pct"/>
            <w:tcBorders>
              <w:top w:val="single" w:sz="4" w:space="0" w:color="auto"/>
              <w:bottom w:val="single" w:sz="4" w:space="0" w:color="auto"/>
            </w:tcBorders>
          </w:tcPr>
          <w:p w14:paraId="4E042F4E" w14:textId="77777777" w:rsidR="005B156B" w:rsidRPr="002A1751" w:rsidRDefault="00F039DE" w:rsidP="005B156B">
            <w:pPr>
              <w:pStyle w:val="TableText"/>
              <w:rPr>
                <w:lang w:eastAsia="ja-JP"/>
              </w:rPr>
            </w:pPr>
            <w:r w:rsidRPr="002A1751">
              <w:rPr>
                <w:lang w:eastAsia="ja-JP"/>
              </w:rPr>
              <w:t>The inherent potential or capacity of a material to cause adverse effects in a living organism.</w:t>
            </w:r>
          </w:p>
        </w:tc>
      </w:tr>
      <w:tr w:rsidR="00690C51" w14:paraId="4E042F52" w14:textId="77777777" w:rsidTr="00487487">
        <w:trPr>
          <w:cantSplit/>
        </w:trPr>
        <w:tc>
          <w:tcPr>
            <w:tcW w:w="1173" w:type="pct"/>
            <w:tcBorders>
              <w:top w:val="single" w:sz="4" w:space="0" w:color="auto"/>
              <w:bottom w:val="single" w:sz="12" w:space="0" w:color="auto"/>
            </w:tcBorders>
          </w:tcPr>
          <w:p w14:paraId="4E042F50" w14:textId="77777777" w:rsidR="005B156B" w:rsidRPr="002A1751" w:rsidRDefault="00F039DE" w:rsidP="005B156B">
            <w:pPr>
              <w:pStyle w:val="TableText"/>
              <w:rPr>
                <w:lang w:eastAsia="ja-JP"/>
              </w:rPr>
            </w:pPr>
            <w:r w:rsidRPr="002A1751">
              <w:rPr>
                <w:lang w:eastAsia="ja-JP"/>
              </w:rPr>
              <w:t>toxicity test</w:t>
            </w:r>
          </w:p>
        </w:tc>
        <w:tc>
          <w:tcPr>
            <w:tcW w:w="3827" w:type="pct"/>
            <w:tcBorders>
              <w:top w:val="single" w:sz="4" w:space="0" w:color="auto"/>
              <w:bottom w:val="single" w:sz="12" w:space="0" w:color="auto"/>
            </w:tcBorders>
          </w:tcPr>
          <w:p w14:paraId="4E042F51" w14:textId="77777777" w:rsidR="004F75D0" w:rsidRPr="002A1751" w:rsidRDefault="00F039DE" w:rsidP="005B156B">
            <w:pPr>
              <w:pStyle w:val="TableText"/>
              <w:rPr>
                <w:lang w:eastAsia="ja-JP"/>
              </w:rPr>
            </w:pPr>
            <w:r w:rsidRPr="002A1751">
              <w:rPr>
                <w:lang w:eastAsia="ja-JP"/>
              </w:rPr>
              <w:t>The means by which the toxicity of a chemical or other test material is determined. A toxicity test is used to measure the degree of response produced by exposure to a specific level of stimulus (or concentration of chemical) for a specified test period</w:t>
            </w:r>
            <w:r w:rsidR="005B156B" w:rsidRPr="002A1751">
              <w:rPr>
                <w:lang w:eastAsia="ja-JP"/>
              </w:rPr>
              <w:t>.</w:t>
            </w:r>
          </w:p>
        </w:tc>
      </w:tr>
    </w:tbl>
    <w:p w14:paraId="4E042F53" w14:textId="77777777" w:rsidR="001303C0" w:rsidRPr="00487487" w:rsidRDefault="001303C0" w:rsidP="00487487">
      <w:pPr>
        <w:spacing w:after="0" w:line="240" w:lineRule="auto"/>
        <w:rPr>
          <w:sz w:val="8"/>
          <w:szCs w:val="8"/>
          <w:highlight w:val="yellow"/>
          <w:lang w:eastAsia="ja-JP"/>
        </w:rPr>
      </w:pPr>
    </w:p>
    <w:p w14:paraId="4E042F54" w14:textId="77777777" w:rsidR="00606A7B" w:rsidRPr="00487487" w:rsidRDefault="00606A7B" w:rsidP="00487487">
      <w:pPr>
        <w:spacing w:after="0" w:line="240" w:lineRule="auto"/>
        <w:rPr>
          <w:sz w:val="8"/>
          <w:szCs w:val="8"/>
          <w:highlight w:val="yellow"/>
          <w:lang w:eastAsia="ja-JP"/>
        </w:rPr>
        <w:sectPr w:rsidR="00606A7B" w:rsidRPr="00487487" w:rsidSect="0051545C">
          <w:headerReference w:type="even" r:id="rId26"/>
          <w:headerReference w:type="default" r:id="rId27"/>
          <w:headerReference w:type="first" r:id="rId28"/>
          <w:footerReference w:type="first" r:id="rId29"/>
          <w:pgSz w:w="11906" w:h="16838"/>
          <w:pgMar w:top="1418" w:right="1418" w:bottom="1418" w:left="1418" w:header="567" w:footer="283" w:gutter="0"/>
          <w:pgNumType w:start="1"/>
          <w:cols w:space="708"/>
          <w:titlePg/>
          <w:docGrid w:linePitch="360"/>
        </w:sectPr>
      </w:pPr>
    </w:p>
    <w:p w14:paraId="4E042F55" w14:textId="77777777" w:rsidR="001C0D1C" w:rsidRDefault="00F039DE">
      <w:pPr>
        <w:pStyle w:val="Heading2"/>
        <w:numPr>
          <w:ilvl w:val="0"/>
          <w:numId w:val="0"/>
        </w:numPr>
      </w:pPr>
      <w:bookmarkStart w:id="24" w:name="_Ref80542667"/>
      <w:bookmarkStart w:id="25" w:name="_Toc80543138"/>
      <w:r w:rsidRPr="003C5E00">
        <w:lastRenderedPageBreak/>
        <w:t>Appendix</w:t>
      </w:r>
      <w:r w:rsidR="005A3B0C">
        <w:t> </w:t>
      </w:r>
      <w:r w:rsidRPr="003C5E00">
        <w:t xml:space="preserve">A: </w:t>
      </w:r>
      <w:r w:rsidR="0028085F" w:rsidRPr="003C5E00">
        <w:t>Toxicity data that passed the screening and quality assessment</w:t>
      </w:r>
      <w:r w:rsidR="002C3685">
        <w:t xml:space="preserve"> and were used to derive the default guideline values</w:t>
      </w:r>
      <w:bookmarkEnd w:id="24"/>
      <w:bookmarkEnd w:id="25"/>
    </w:p>
    <w:p w14:paraId="4E042F56" w14:textId="21528B5B" w:rsidR="00EF0792" w:rsidRPr="00EF0792" w:rsidRDefault="00F039DE" w:rsidP="005A3B0C">
      <w:pPr>
        <w:pStyle w:val="Caption"/>
        <w:rPr>
          <w:lang w:eastAsia="ja-JP"/>
        </w:rPr>
      </w:pPr>
      <w:bookmarkStart w:id="26" w:name="_Toc80543148"/>
      <w:r>
        <w:t>Table A </w:t>
      </w:r>
      <w:fldSimple w:instr=" SEQ Table_A \* ARABIC ">
        <w:r w:rsidR="006700C9">
          <w:rPr>
            <w:noProof/>
          </w:rPr>
          <w:t>1</w:t>
        </w:r>
      </w:fldSimple>
      <w:r>
        <w:t xml:space="preserve"> </w:t>
      </w:r>
      <w:r>
        <w:rPr>
          <w:lang w:eastAsia="ja-JP"/>
        </w:rPr>
        <w:t>Summary,</w:t>
      </w:r>
      <w:r w:rsidR="005A3B0C">
        <w:rPr>
          <w:lang w:eastAsia="ja-JP"/>
        </w:rPr>
        <w:t xml:space="preserve"> toxicity data that </w:t>
      </w:r>
      <w:r w:rsidR="005A3B0C" w:rsidRPr="005A3B0C">
        <w:rPr>
          <w:lang w:eastAsia="ja-JP"/>
        </w:rPr>
        <w:t xml:space="preserve">passed the screening and quality assurance processes, </w:t>
      </w:r>
      <w:r w:rsidR="005A3B0C">
        <w:rPr>
          <w:lang w:eastAsia="ja-JP"/>
        </w:rPr>
        <w:t>picloram</w:t>
      </w:r>
      <w:r w:rsidR="005A3B0C" w:rsidRPr="005A3B0C">
        <w:rPr>
          <w:lang w:eastAsia="ja-JP"/>
        </w:rPr>
        <w:t xml:space="preserve"> in freshwater</w:t>
      </w:r>
      <w:bookmarkEnd w:id="26"/>
    </w:p>
    <w:tbl>
      <w:tblPr>
        <w:tblW w:w="5000" w:type="pct"/>
        <w:tblBorders>
          <w:top w:val="single" w:sz="4" w:space="0" w:color="auto"/>
          <w:bottom w:val="single" w:sz="4" w:space="0" w:color="auto"/>
          <w:insideH w:val="single" w:sz="4" w:space="0" w:color="auto"/>
        </w:tblBorders>
        <w:tblLayout w:type="fixed"/>
        <w:tblLook w:val="0000" w:firstRow="0" w:lastRow="0" w:firstColumn="0" w:lastColumn="0" w:noHBand="0" w:noVBand="0"/>
        <w:tblCaption w:val="Summary, toxicity data that passed the screening and quality assurance processes, picloram in freshwater"/>
        <w:tblDescription w:val="Table lists 12 species with their taxonomic group. The different life stages for each species are provided with the following test information: exposure duration (hour), test type, toxicity measure (test endpoint), test medium, temperature, salinity, pH, concentration (microgram per litre) and reference."/>
      </w:tblPr>
      <w:tblGrid>
        <w:gridCol w:w="1134"/>
        <w:gridCol w:w="1417"/>
        <w:gridCol w:w="849"/>
        <w:gridCol w:w="1134"/>
        <w:gridCol w:w="851"/>
        <w:gridCol w:w="1700"/>
        <w:gridCol w:w="1277"/>
        <w:gridCol w:w="994"/>
        <w:gridCol w:w="851"/>
        <w:gridCol w:w="849"/>
        <w:gridCol w:w="1420"/>
        <w:gridCol w:w="1526"/>
      </w:tblGrid>
      <w:tr w:rsidR="00690C51" w14:paraId="4E042F63" w14:textId="77777777" w:rsidTr="0031060C">
        <w:trPr>
          <w:cantSplit/>
          <w:trHeight w:val="257"/>
          <w:tblHeader/>
        </w:trPr>
        <w:tc>
          <w:tcPr>
            <w:tcW w:w="405" w:type="pct"/>
            <w:tcBorders>
              <w:top w:val="single" w:sz="12" w:space="0" w:color="auto"/>
              <w:bottom w:val="single" w:sz="12" w:space="0" w:color="auto"/>
            </w:tcBorders>
            <w:shd w:val="clear" w:color="auto" w:fill="auto"/>
          </w:tcPr>
          <w:p w14:paraId="4E042F57" w14:textId="77777777" w:rsidR="00201048" w:rsidRPr="003C5E00" w:rsidRDefault="00F039DE" w:rsidP="00387CB9">
            <w:pPr>
              <w:pStyle w:val="TableHeading"/>
            </w:pPr>
            <w:r>
              <w:t>Taxonomic group</w:t>
            </w:r>
          </w:p>
        </w:tc>
        <w:tc>
          <w:tcPr>
            <w:tcW w:w="506" w:type="pct"/>
            <w:tcBorders>
              <w:top w:val="single" w:sz="12" w:space="0" w:color="auto"/>
              <w:bottom w:val="single" w:sz="12" w:space="0" w:color="auto"/>
            </w:tcBorders>
            <w:shd w:val="clear" w:color="auto" w:fill="auto"/>
          </w:tcPr>
          <w:p w14:paraId="4E042F58" w14:textId="77777777" w:rsidR="00201048" w:rsidRPr="003C5E00" w:rsidRDefault="00F039DE" w:rsidP="00387CB9">
            <w:pPr>
              <w:pStyle w:val="TableHeading"/>
            </w:pPr>
            <w:r w:rsidRPr="003C5E00">
              <w:t>Species</w:t>
            </w:r>
          </w:p>
        </w:tc>
        <w:tc>
          <w:tcPr>
            <w:tcW w:w="303" w:type="pct"/>
            <w:tcBorders>
              <w:top w:val="single" w:sz="12" w:space="0" w:color="auto"/>
              <w:bottom w:val="single" w:sz="12" w:space="0" w:color="auto"/>
            </w:tcBorders>
            <w:shd w:val="clear" w:color="auto" w:fill="auto"/>
          </w:tcPr>
          <w:p w14:paraId="4E042F59" w14:textId="77777777" w:rsidR="00201048" w:rsidRPr="003C5E00" w:rsidRDefault="00F039DE" w:rsidP="00387CB9">
            <w:pPr>
              <w:pStyle w:val="TableHeading"/>
            </w:pPr>
            <w:r w:rsidRPr="003C5E00">
              <w:t>Life stage</w:t>
            </w:r>
          </w:p>
        </w:tc>
        <w:tc>
          <w:tcPr>
            <w:tcW w:w="405" w:type="pct"/>
            <w:tcBorders>
              <w:top w:val="single" w:sz="12" w:space="0" w:color="auto"/>
              <w:bottom w:val="single" w:sz="12" w:space="0" w:color="auto"/>
            </w:tcBorders>
            <w:shd w:val="clear" w:color="auto" w:fill="auto"/>
          </w:tcPr>
          <w:p w14:paraId="4E042F5A" w14:textId="77777777" w:rsidR="00201048" w:rsidRPr="003C5E00" w:rsidRDefault="00F039DE" w:rsidP="00387CB9">
            <w:pPr>
              <w:pStyle w:val="TableHeading"/>
            </w:pPr>
            <w:r w:rsidRPr="003C5E00">
              <w:t>Exposure duration (h)</w:t>
            </w:r>
          </w:p>
        </w:tc>
        <w:tc>
          <w:tcPr>
            <w:tcW w:w="304" w:type="pct"/>
            <w:tcBorders>
              <w:top w:val="single" w:sz="12" w:space="0" w:color="auto"/>
              <w:bottom w:val="single" w:sz="12" w:space="0" w:color="auto"/>
            </w:tcBorders>
            <w:shd w:val="clear" w:color="auto" w:fill="auto"/>
          </w:tcPr>
          <w:p w14:paraId="4E042F5B" w14:textId="77777777" w:rsidR="00201048" w:rsidRPr="003C5E00" w:rsidRDefault="00F039DE" w:rsidP="00387CB9">
            <w:pPr>
              <w:pStyle w:val="TableHeading"/>
            </w:pPr>
            <w:r w:rsidRPr="003C5E00">
              <w:t>Test type</w:t>
            </w:r>
          </w:p>
        </w:tc>
        <w:tc>
          <w:tcPr>
            <w:tcW w:w="607" w:type="pct"/>
            <w:tcBorders>
              <w:top w:val="single" w:sz="12" w:space="0" w:color="auto"/>
              <w:bottom w:val="single" w:sz="12" w:space="0" w:color="auto"/>
            </w:tcBorders>
            <w:shd w:val="clear" w:color="auto" w:fill="auto"/>
          </w:tcPr>
          <w:p w14:paraId="4E042F5C" w14:textId="77777777" w:rsidR="00201048" w:rsidRPr="003C5E00" w:rsidRDefault="00F039DE" w:rsidP="001254B2">
            <w:pPr>
              <w:pStyle w:val="TableHeading"/>
            </w:pPr>
            <w:r w:rsidRPr="003C5E00">
              <w:t>Toxicity measure</w:t>
            </w:r>
            <w:r w:rsidR="00CF4C82" w:rsidRPr="00CF4C82">
              <w:rPr>
                <w:vertAlign w:val="superscript"/>
              </w:rPr>
              <w:t> </w:t>
            </w:r>
            <w:r w:rsidRPr="00822D99">
              <w:rPr>
                <w:rStyle w:val="Strong"/>
                <w:vertAlign w:val="superscript"/>
              </w:rPr>
              <w:t>a</w:t>
            </w:r>
            <w:r w:rsidRPr="003C5E00">
              <w:t xml:space="preserve"> (</w:t>
            </w:r>
            <w:r w:rsidR="00387CB9" w:rsidRPr="003C5E00">
              <w:t>test endpoint</w:t>
            </w:r>
            <w:r w:rsidRPr="003C5E00">
              <w:t>)</w:t>
            </w:r>
          </w:p>
        </w:tc>
        <w:tc>
          <w:tcPr>
            <w:tcW w:w="456" w:type="pct"/>
            <w:tcBorders>
              <w:top w:val="single" w:sz="12" w:space="0" w:color="auto"/>
              <w:bottom w:val="single" w:sz="12" w:space="0" w:color="auto"/>
            </w:tcBorders>
            <w:shd w:val="clear" w:color="auto" w:fill="auto"/>
          </w:tcPr>
          <w:p w14:paraId="4E042F5D" w14:textId="77777777" w:rsidR="00201048" w:rsidRPr="003C5E00" w:rsidRDefault="00F039DE" w:rsidP="00387CB9">
            <w:pPr>
              <w:pStyle w:val="TableHeading"/>
            </w:pPr>
            <w:r w:rsidRPr="003C5E00">
              <w:t>Test medium</w:t>
            </w:r>
          </w:p>
        </w:tc>
        <w:tc>
          <w:tcPr>
            <w:tcW w:w="355" w:type="pct"/>
            <w:tcBorders>
              <w:top w:val="single" w:sz="12" w:space="0" w:color="auto"/>
              <w:bottom w:val="single" w:sz="12" w:space="0" w:color="auto"/>
            </w:tcBorders>
            <w:shd w:val="clear" w:color="auto" w:fill="auto"/>
          </w:tcPr>
          <w:p w14:paraId="4E042F5E" w14:textId="77777777" w:rsidR="00201048" w:rsidRPr="003C5E00" w:rsidRDefault="00F039DE" w:rsidP="00387CB9">
            <w:pPr>
              <w:pStyle w:val="TableHeading"/>
            </w:pPr>
            <w:r w:rsidRPr="003C5E00">
              <w:t>Temp</w:t>
            </w:r>
            <w:r w:rsidR="00E21290">
              <w:t>.</w:t>
            </w:r>
            <w:r w:rsidRPr="003C5E00">
              <w:t xml:space="preserve"> (</w:t>
            </w:r>
            <w:r w:rsidRPr="003C5E00">
              <w:rPr>
                <w:rFonts w:ascii="Symbol" w:hAnsi="Symbol"/>
              </w:rPr>
              <w:sym w:font="Symbol" w:char="F0B0"/>
            </w:r>
            <w:r w:rsidRPr="003C5E00">
              <w:t>C)</w:t>
            </w:r>
          </w:p>
        </w:tc>
        <w:tc>
          <w:tcPr>
            <w:tcW w:w="304" w:type="pct"/>
            <w:tcBorders>
              <w:top w:val="single" w:sz="12" w:space="0" w:color="auto"/>
              <w:bottom w:val="single" w:sz="12" w:space="0" w:color="auto"/>
            </w:tcBorders>
            <w:shd w:val="clear" w:color="auto" w:fill="auto"/>
          </w:tcPr>
          <w:p w14:paraId="4E042F5F" w14:textId="77777777" w:rsidR="00201048" w:rsidRPr="003C5E00" w:rsidRDefault="00F039DE" w:rsidP="00387CB9">
            <w:pPr>
              <w:pStyle w:val="TableHeading"/>
            </w:pPr>
            <w:r w:rsidRPr="003C5E00">
              <w:t>Salinity (‰)</w:t>
            </w:r>
          </w:p>
        </w:tc>
        <w:tc>
          <w:tcPr>
            <w:tcW w:w="303" w:type="pct"/>
            <w:tcBorders>
              <w:top w:val="single" w:sz="12" w:space="0" w:color="auto"/>
              <w:bottom w:val="single" w:sz="12" w:space="0" w:color="auto"/>
            </w:tcBorders>
            <w:shd w:val="clear" w:color="auto" w:fill="auto"/>
          </w:tcPr>
          <w:p w14:paraId="4E042F60" w14:textId="77777777" w:rsidR="00201048" w:rsidRPr="003C5E00" w:rsidRDefault="00F039DE" w:rsidP="00387CB9">
            <w:pPr>
              <w:pStyle w:val="TableHeading"/>
            </w:pPr>
            <w:r w:rsidRPr="003C5E00">
              <w:t>pH</w:t>
            </w:r>
          </w:p>
        </w:tc>
        <w:tc>
          <w:tcPr>
            <w:tcW w:w="507" w:type="pct"/>
            <w:tcBorders>
              <w:top w:val="single" w:sz="12" w:space="0" w:color="auto"/>
              <w:bottom w:val="single" w:sz="12" w:space="0" w:color="auto"/>
            </w:tcBorders>
            <w:shd w:val="clear" w:color="auto" w:fill="auto"/>
          </w:tcPr>
          <w:p w14:paraId="4E042F61" w14:textId="77777777" w:rsidR="00201048" w:rsidRPr="00183F4A" w:rsidRDefault="00F039DE" w:rsidP="00183F4A">
            <w:pPr>
              <w:pStyle w:val="TableHeading"/>
            </w:pPr>
            <w:r w:rsidRPr="00183F4A">
              <w:t>Conc</w:t>
            </w:r>
            <w:r w:rsidR="00183F4A">
              <w:t>entration</w:t>
            </w:r>
            <w:r w:rsidRPr="00183F4A">
              <w:t xml:space="preserve"> (µg/L)</w:t>
            </w:r>
          </w:p>
        </w:tc>
        <w:tc>
          <w:tcPr>
            <w:tcW w:w="545" w:type="pct"/>
            <w:tcBorders>
              <w:top w:val="single" w:sz="12" w:space="0" w:color="auto"/>
              <w:bottom w:val="single" w:sz="12" w:space="0" w:color="auto"/>
            </w:tcBorders>
            <w:shd w:val="clear" w:color="auto" w:fill="auto"/>
          </w:tcPr>
          <w:p w14:paraId="4E042F62" w14:textId="77777777" w:rsidR="00201048" w:rsidRPr="003C5E00" w:rsidRDefault="00F039DE" w:rsidP="00387CB9">
            <w:pPr>
              <w:pStyle w:val="TableHeading"/>
            </w:pPr>
            <w:r w:rsidRPr="003C5E00">
              <w:t>Reference</w:t>
            </w:r>
          </w:p>
        </w:tc>
      </w:tr>
      <w:tr w:rsidR="00690C51" w14:paraId="4E042F70" w14:textId="77777777" w:rsidTr="0031060C">
        <w:trPr>
          <w:cantSplit/>
        </w:trPr>
        <w:tc>
          <w:tcPr>
            <w:tcW w:w="405" w:type="pct"/>
            <w:vMerge w:val="restart"/>
            <w:tcBorders>
              <w:top w:val="single" w:sz="12" w:space="0" w:color="auto"/>
            </w:tcBorders>
            <w:shd w:val="clear" w:color="auto" w:fill="auto"/>
          </w:tcPr>
          <w:p w14:paraId="4E042F64" w14:textId="77777777" w:rsidR="00611C8C" w:rsidRPr="005577A5" w:rsidRDefault="00F039DE" w:rsidP="00387CB9">
            <w:pPr>
              <w:pStyle w:val="TableText"/>
              <w:rPr>
                <w:rFonts w:cstheme="minorHAnsi"/>
              </w:rPr>
            </w:pPr>
            <w:r w:rsidRPr="005D54AD">
              <w:rPr>
                <w:rFonts w:cstheme="minorHAnsi"/>
              </w:rPr>
              <w:t>Microalga</w:t>
            </w:r>
          </w:p>
        </w:tc>
        <w:tc>
          <w:tcPr>
            <w:tcW w:w="506" w:type="pct"/>
            <w:vMerge w:val="restart"/>
            <w:tcBorders>
              <w:top w:val="single" w:sz="12" w:space="0" w:color="auto"/>
            </w:tcBorders>
            <w:shd w:val="clear" w:color="auto" w:fill="auto"/>
          </w:tcPr>
          <w:p w14:paraId="4E042F65" w14:textId="77777777" w:rsidR="00611C8C" w:rsidRPr="005577A5" w:rsidRDefault="00F039DE" w:rsidP="00387CB9">
            <w:pPr>
              <w:pStyle w:val="TableText"/>
              <w:rPr>
                <w:rFonts w:cstheme="minorHAnsi"/>
                <w:i/>
              </w:rPr>
            </w:pPr>
            <w:r w:rsidRPr="005D54AD">
              <w:rPr>
                <w:rFonts w:cstheme="minorHAnsi"/>
                <w:i/>
              </w:rPr>
              <w:t>Rhapidocelis subcapitata</w:t>
            </w:r>
          </w:p>
        </w:tc>
        <w:tc>
          <w:tcPr>
            <w:tcW w:w="303" w:type="pct"/>
            <w:tcBorders>
              <w:top w:val="single" w:sz="12" w:space="0" w:color="auto"/>
            </w:tcBorders>
            <w:shd w:val="clear" w:color="auto" w:fill="auto"/>
          </w:tcPr>
          <w:p w14:paraId="4E042F66" w14:textId="77777777" w:rsidR="00611C8C" w:rsidRPr="005577A5" w:rsidRDefault="00F039DE" w:rsidP="00387CB9">
            <w:pPr>
              <w:pStyle w:val="TableText"/>
              <w:rPr>
                <w:rFonts w:cstheme="minorHAnsi"/>
              </w:rPr>
            </w:pPr>
            <w:r>
              <w:rPr>
                <w:rFonts w:cstheme="minorHAnsi"/>
              </w:rPr>
              <w:t>–</w:t>
            </w:r>
          </w:p>
        </w:tc>
        <w:tc>
          <w:tcPr>
            <w:tcW w:w="405" w:type="pct"/>
            <w:tcBorders>
              <w:top w:val="single" w:sz="12" w:space="0" w:color="auto"/>
            </w:tcBorders>
            <w:shd w:val="clear" w:color="auto" w:fill="auto"/>
          </w:tcPr>
          <w:p w14:paraId="4E042F67" w14:textId="77777777" w:rsidR="00611C8C" w:rsidRPr="005577A5" w:rsidRDefault="00F039DE" w:rsidP="00387CB9">
            <w:pPr>
              <w:pStyle w:val="TableText"/>
              <w:rPr>
                <w:rFonts w:cstheme="minorHAnsi"/>
              </w:rPr>
            </w:pPr>
            <w:r w:rsidRPr="005D54AD">
              <w:rPr>
                <w:rFonts w:cstheme="minorHAnsi"/>
              </w:rPr>
              <w:t>96</w:t>
            </w:r>
          </w:p>
        </w:tc>
        <w:tc>
          <w:tcPr>
            <w:tcW w:w="304" w:type="pct"/>
            <w:tcBorders>
              <w:top w:val="single" w:sz="12" w:space="0" w:color="auto"/>
            </w:tcBorders>
            <w:shd w:val="clear" w:color="auto" w:fill="auto"/>
          </w:tcPr>
          <w:p w14:paraId="4E042F68" w14:textId="77777777" w:rsidR="00611C8C" w:rsidRPr="005577A5" w:rsidRDefault="00F039DE" w:rsidP="00387CB9">
            <w:pPr>
              <w:pStyle w:val="TableText"/>
              <w:rPr>
                <w:rFonts w:cstheme="minorHAnsi"/>
              </w:rPr>
            </w:pPr>
            <w:r w:rsidRPr="005D54AD">
              <w:rPr>
                <w:rFonts w:cstheme="minorHAnsi"/>
              </w:rPr>
              <w:t>Chronic</w:t>
            </w:r>
          </w:p>
        </w:tc>
        <w:tc>
          <w:tcPr>
            <w:tcW w:w="607" w:type="pct"/>
            <w:tcBorders>
              <w:top w:val="single" w:sz="12" w:space="0" w:color="auto"/>
            </w:tcBorders>
            <w:shd w:val="clear" w:color="auto" w:fill="auto"/>
          </w:tcPr>
          <w:p w14:paraId="4E042F69" w14:textId="77777777" w:rsidR="00611C8C" w:rsidRPr="005577A5" w:rsidRDefault="00F039DE" w:rsidP="00387CB9">
            <w:pPr>
              <w:pStyle w:val="TableText"/>
              <w:rPr>
                <w:rFonts w:cstheme="minorHAnsi"/>
              </w:rPr>
            </w:pPr>
            <w:r w:rsidRPr="005577A5">
              <w:rPr>
                <w:rFonts w:cstheme="minorHAnsi"/>
              </w:rPr>
              <w:t>NOEC (Growth)</w:t>
            </w:r>
          </w:p>
        </w:tc>
        <w:tc>
          <w:tcPr>
            <w:tcW w:w="456" w:type="pct"/>
            <w:tcBorders>
              <w:top w:val="single" w:sz="12" w:space="0" w:color="auto"/>
            </w:tcBorders>
            <w:shd w:val="clear" w:color="auto" w:fill="auto"/>
          </w:tcPr>
          <w:p w14:paraId="4E042F6A" w14:textId="77777777" w:rsidR="00611C8C" w:rsidRPr="005577A5" w:rsidRDefault="00F039DE" w:rsidP="00387CB9">
            <w:pPr>
              <w:pStyle w:val="TableText"/>
              <w:rPr>
                <w:rFonts w:cstheme="minorHAnsi"/>
              </w:rPr>
            </w:pPr>
            <w:r>
              <w:rPr>
                <w:rFonts w:cstheme="minorHAnsi"/>
              </w:rPr>
              <w:t>–</w:t>
            </w:r>
          </w:p>
        </w:tc>
        <w:tc>
          <w:tcPr>
            <w:tcW w:w="355" w:type="pct"/>
            <w:tcBorders>
              <w:top w:val="single" w:sz="12" w:space="0" w:color="auto"/>
            </w:tcBorders>
            <w:shd w:val="clear" w:color="auto" w:fill="auto"/>
          </w:tcPr>
          <w:p w14:paraId="4E042F6B" w14:textId="77777777" w:rsidR="00611C8C" w:rsidRPr="005577A5" w:rsidRDefault="00F039DE" w:rsidP="00387CB9">
            <w:pPr>
              <w:pStyle w:val="TableText"/>
              <w:rPr>
                <w:rFonts w:cstheme="minorHAnsi"/>
              </w:rPr>
            </w:pPr>
            <w:r>
              <w:rPr>
                <w:rFonts w:cstheme="minorHAnsi"/>
              </w:rPr>
              <w:t>–</w:t>
            </w:r>
          </w:p>
        </w:tc>
        <w:tc>
          <w:tcPr>
            <w:tcW w:w="304" w:type="pct"/>
            <w:tcBorders>
              <w:top w:val="single" w:sz="12" w:space="0" w:color="auto"/>
            </w:tcBorders>
            <w:shd w:val="clear" w:color="auto" w:fill="auto"/>
          </w:tcPr>
          <w:p w14:paraId="4E042F6C" w14:textId="77777777" w:rsidR="00611C8C" w:rsidRPr="005577A5" w:rsidRDefault="00F039DE" w:rsidP="00387CB9">
            <w:pPr>
              <w:pStyle w:val="TableText"/>
              <w:rPr>
                <w:rFonts w:cstheme="minorHAnsi"/>
              </w:rPr>
            </w:pPr>
            <w:r>
              <w:rPr>
                <w:rFonts w:cstheme="minorHAnsi"/>
              </w:rPr>
              <w:t>–</w:t>
            </w:r>
          </w:p>
        </w:tc>
        <w:tc>
          <w:tcPr>
            <w:tcW w:w="303" w:type="pct"/>
            <w:tcBorders>
              <w:top w:val="single" w:sz="12" w:space="0" w:color="auto"/>
            </w:tcBorders>
            <w:shd w:val="clear" w:color="auto" w:fill="auto"/>
          </w:tcPr>
          <w:p w14:paraId="4E042F6D" w14:textId="77777777" w:rsidR="00611C8C" w:rsidRPr="005577A5" w:rsidRDefault="00F039DE" w:rsidP="00387CB9">
            <w:pPr>
              <w:pStyle w:val="TableText"/>
              <w:rPr>
                <w:rFonts w:cstheme="minorHAnsi"/>
              </w:rPr>
            </w:pPr>
            <w:r>
              <w:rPr>
                <w:rFonts w:cstheme="minorHAnsi"/>
              </w:rPr>
              <w:t>–</w:t>
            </w:r>
          </w:p>
        </w:tc>
        <w:tc>
          <w:tcPr>
            <w:tcW w:w="507" w:type="pct"/>
            <w:tcBorders>
              <w:top w:val="single" w:sz="12" w:space="0" w:color="auto"/>
            </w:tcBorders>
            <w:shd w:val="clear" w:color="auto" w:fill="auto"/>
          </w:tcPr>
          <w:p w14:paraId="4E042F6E" w14:textId="77777777" w:rsidR="00611C8C" w:rsidRPr="005577A5" w:rsidRDefault="00F039DE" w:rsidP="00387CB9">
            <w:pPr>
              <w:pStyle w:val="TableText"/>
              <w:rPr>
                <w:rFonts w:cstheme="minorHAnsi"/>
              </w:rPr>
            </w:pPr>
            <w:r w:rsidRPr="005577A5">
              <w:rPr>
                <w:rFonts w:cstheme="minorHAnsi"/>
              </w:rPr>
              <w:t>8</w:t>
            </w:r>
            <w:r w:rsidR="007F72A8">
              <w:rPr>
                <w:rFonts w:cstheme="minorHAnsi"/>
              </w:rPr>
              <w:t> </w:t>
            </w:r>
            <w:r w:rsidRPr="005577A5">
              <w:rPr>
                <w:rFonts w:cstheme="minorHAnsi"/>
              </w:rPr>
              <w:t>000</w:t>
            </w:r>
          </w:p>
        </w:tc>
        <w:tc>
          <w:tcPr>
            <w:tcW w:w="545" w:type="pct"/>
            <w:tcBorders>
              <w:top w:val="single" w:sz="12" w:space="0" w:color="auto"/>
            </w:tcBorders>
            <w:shd w:val="clear" w:color="auto" w:fill="auto"/>
          </w:tcPr>
          <w:p w14:paraId="4E042F6F" w14:textId="77777777" w:rsidR="00611C8C" w:rsidRPr="005577A5"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2F7D" w14:textId="77777777" w:rsidTr="0031060C">
        <w:trPr>
          <w:cantSplit/>
        </w:trPr>
        <w:tc>
          <w:tcPr>
            <w:tcW w:w="405" w:type="pct"/>
            <w:vMerge/>
            <w:shd w:val="clear" w:color="auto" w:fill="auto"/>
          </w:tcPr>
          <w:p w14:paraId="4E042F71" w14:textId="77777777" w:rsidR="00611C8C" w:rsidRPr="005577A5" w:rsidRDefault="00611C8C" w:rsidP="00387CB9">
            <w:pPr>
              <w:pStyle w:val="TableText"/>
              <w:rPr>
                <w:rFonts w:cstheme="minorHAnsi"/>
              </w:rPr>
            </w:pPr>
          </w:p>
        </w:tc>
        <w:tc>
          <w:tcPr>
            <w:tcW w:w="506" w:type="pct"/>
            <w:vMerge/>
            <w:tcBorders>
              <w:bottom w:val="nil"/>
            </w:tcBorders>
            <w:shd w:val="clear" w:color="auto" w:fill="auto"/>
          </w:tcPr>
          <w:p w14:paraId="4E042F72" w14:textId="77777777" w:rsidR="00611C8C" w:rsidRPr="005577A5" w:rsidRDefault="00611C8C" w:rsidP="00387CB9">
            <w:pPr>
              <w:pStyle w:val="TableText"/>
              <w:rPr>
                <w:rFonts w:cstheme="minorHAnsi"/>
                <w:i/>
              </w:rPr>
            </w:pPr>
          </w:p>
        </w:tc>
        <w:tc>
          <w:tcPr>
            <w:tcW w:w="303" w:type="pct"/>
            <w:tcBorders>
              <w:bottom w:val="nil"/>
            </w:tcBorders>
            <w:shd w:val="clear" w:color="auto" w:fill="auto"/>
          </w:tcPr>
          <w:p w14:paraId="4E042F73" w14:textId="77777777" w:rsidR="00611C8C" w:rsidRPr="005577A5" w:rsidRDefault="00F039DE" w:rsidP="00387CB9">
            <w:pPr>
              <w:pStyle w:val="TableText"/>
              <w:rPr>
                <w:rFonts w:cstheme="minorHAnsi"/>
              </w:rPr>
            </w:pPr>
            <w:r>
              <w:rPr>
                <w:rFonts w:cstheme="minorHAnsi"/>
              </w:rPr>
              <w:t>–</w:t>
            </w:r>
          </w:p>
        </w:tc>
        <w:tc>
          <w:tcPr>
            <w:tcW w:w="405" w:type="pct"/>
            <w:tcBorders>
              <w:bottom w:val="nil"/>
            </w:tcBorders>
            <w:shd w:val="clear" w:color="auto" w:fill="auto"/>
          </w:tcPr>
          <w:p w14:paraId="4E042F74" w14:textId="77777777" w:rsidR="00611C8C" w:rsidRPr="005577A5" w:rsidRDefault="00F039DE" w:rsidP="00387CB9">
            <w:pPr>
              <w:pStyle w:val="TableText"/>
              <w:rPr>
                <w:rFonts w:cstheme="minorHAnsi"/>
              </w:rPr>
            </w:pPr>
            <w:r w:rsidRPr="005D54AD">
              <w:rPr>
                <w:rFonts w:cstheme="minorHAnsi"/>
              </w:rPr>
              <w:t>96</w:t>
            </w:r>
          </w:p>
        </w:tc>
        <w:tc>
          <w:tcPr>
            <w:tcW w:w="304" w:type="pct"/>
            <w:tcBorders>
              <w:bottom w:val="nil"/>
            </w:tcBorders>
            <w:shd w:val="clear" w:color="auto" w:fill="auto"/>
          </w:tcPr>
          <w:p w14:paraId="4E042F75" w14:textId="77777777" w:rsidR="00611C8C" w:rsidRPr="005577A5" w:rsidRDefault="00F039DE" w:rsidP="00387CB9">
            <w:pPr>
              <w:pStyle w:val="TableText"/>
              <w:rPr>
                <w:rFonts w:cstheme="minorHAnsi"/>
              </w:rPr>
            </w:pPr>
            <w:r w:rsidRPr="005D54AD">
              <w:rPr>
                <w:rFonts w:cstheme="minorHAnsi"/>
              </w:rPr>
              <w:t>Chronic</w:t>
            </w:r>
          </w:p>
        </w:tc>
        <w:tc>
          <w:tcPr>
            <w:tcW w:w="607" w:type="pct"/>
            <w:tcBorders>
              <w:bottom w:val="nil"/>
            </w:tcBorders>
            <w:shd w:val="clear" w:color="auto" w:fill="auto"/>
          </w:tcPr>
          <w:p w14:paraId="4E042F76" w14:textId="77777777" w:rsidR="00611C8C" w:rsidRPr="005577A5" w:rsidRDefault="00F039DE" w:rsidP="00387CB9">
            <w:pPr>
              <w:pStyle w:val="TableText"/>
              <w:rPr>
                <w:rFonts w:cstheme="minorHAnsi"/>
              </w:rPr>
            </w:pPr>
            <w:r w:rsidRPr="005577A5">
              <w:rPr>
                <w:rFonts w:cstheme="minorHAnsi"/>
              </w:rPr>
              <w:t>NOEC (Growth)</w:t>
            </w:r>
          </w:p>
        </w:tc>
        <w:tc>
          <w:tcPr>
            <w:tcW w:w="456" w:type="pct"/>
            <w:tcBorders>
              <w:bottom w:val="nil"/>
            </w:tcBorders>
            <w:shd w:val="clear" w:color="auto" w:fill="auto"/>
          </w:tcPr>
          <w:p w14:paraId="4E042F77" w14:textId="77777777" w:rsidR="00611C8C" w:rsidRPr="005577A5" w:rsidRDefault="00F039DE" w:rsidP="00387CB9">
            <w:pPr>
              <w:pStyle w:val="TableText"/>
              <w:rPr>
                <w:rFonts w:cstheme="minorHAnsi"/>
              </w:rPr>
            </w:pPr>
            <w:r w:rsidRPr="005577A5">
              <w:rPr>
                <w:rFonts w:cstheme="minorHAnsi"/>
              </w:rPr>
              <w:t>Growth medium</w:t>
            </w:r>
          </w:p>
        </w:tc>
        <w:tc>
          <w:tcPr>
            <w:tcW w:w="355" w:type="pct"/>
            <w:tcBorders>
              <w:bottom w:val="nil"/>
            </w:tcBorders>
            <w:shd w:val="clear" w:color="auto" w:fill="auto"/>
          </w:tcPr>
          <w:p w14:paraId="4E042F78" w14:textId="77777777" w:rsidR="00611C8C" w:rsidRPr="005577A5" w:rsidRDefault="00F039DE" w:rsidP="00387CB9">
            <w:pPr>
              <w:pStyle w:val="TableText"/>
              <w:rPr>
                <w:rFonts w:cstheme="minorHAnsi"/>
              </w:rPr>
            </w:pPr>
            <w:r w:rsidRPr="005577A5">
              <w:rPr>
                <w:rFonts w:cstheme="minorHAnsi"/>
              </w:rPr>
              <w:t>24</w:t>
            </w:r>
            <w:r w:rsidR="00183F4A">
              <w:rPr>
                <w:rFonts w:cstheme="minorHAnsi"/>
              </w:rPr>
              <w:t>–</w:t>
            </w:r>
            <w:r w:rsidRPr="005577A5">
              <w:rPr>
                <w:rFonts w:cstheme="minorHAnsi"/>
              </w:rPr>
              <w:t>26</w:t>
            </w:r>
          </w:p>
        </w:tc>
        <w:tc>
          <w:tcPr>
            <w:tcW w:w="304" w:type="pct"/>
            <w:tcBorders>
              <w:bottom w:val="nil"/>
            </w:tcBorders>
            <w:shd w:val="clear" w:color="auto" w:fill="auto"/>
          </w:tcPr>
          <w:p w14:paraId="4E042F79" w14:textId="77777777" w:rsidR="00611C8C" w:rsidRPr="005577A5" w:rsidRDefault="00F039DE" w:rsidP="00387CB9">
            <w:pPr>
              <w:pStyle w:val="TableText"/>
              <w:rPr>
                <w:rFonts w:cstheme="minorHAnsi"/>
              </w:rPr>
            </w:pPr>
            <w:r>
              <w:rPr>
                <w:rFonts w:cstheme="minorHAnsi"/>
              </w:rPr>
              <w:t>–</w:t>
            </w:r>
          </w:p>
        </w:tc>
        <w:tc>
          <w:tcPr>
            <w:tcW w:w="303" w:type="pct"/>
            <w:tcBorders>
              <w:bottom w:val="nil"/>
            </w:tcBorders>
            <w:shd w:val="clear" w:color="auto" w:fill="auto"/>
          </w:tcPr>
          <w:p w14:paraId="4E042F7A" w14:textId="77777777" w:rsidR="00611C8C" w:rsidRPr="005577A5" w:rsidRDefault="00F039DE" w:rsidP="00387CB9">
            <w:pPr>
              <w:pStyle w:val="TableText"/>
              <w:rPr>
                <w:rFonts w:cstheme="minorHAnsi"/>
              </w:rPr>
            </w:pPr>
            <w:r>
              <w:rPr>
                <w:rFonts w:cstheme="minorHAnsi"/>
              </w:rPr>
              <w:t>–</w:t>
            </w:r>
          </w:p>
        </w:tc>
        <w:tc>
          <w:tcPr>
            <w:tcW w:w="507" w:type="pct"/>
            <w:shd w:val="clear" w:color="auto" w:fill="auto"/>
          </w:tcPr>
          <w:p w14:paraId="4E042F7B" w14:textId="77777777" w:rsidR="00611C8C" w:rsidRPr="005577A5" w:rsidRDefault="00F039DE" w:rsidP="00387CB9">
            <w:pPr>
              <w:pStyle w:val="TableText"/>
              <w:rPr>
                <w:rFonts w:cstheme="minorHAnsi"/>
              </w:rPr>
            </w:pPr>
            <w:r w:rsidRPr="005577A5">
              <w:rPr>
                <w:rFonts w:cstheme="minorHAnsi"/>
              </w:rPr>
              <w:t>10</w:t>
            </w:r>
            <w:r w:rsidR="007F72A8">
              <w:rPr>
                <w:rFonts w:cstheme="minorHAnsi"/>
              </w:rPr>
              <w:t> </w:t>
            </w:r>
            <w:r w:rsidRPr="005577A5">
              <w:rPr>
                <w:rFonts w:cstheme="minorHAnsi"/>
              </w:rPr>
              <w:t>000</w:t>
            </w:r>
          </w:p>
        </w:tc>
        <w:tc>
          <w:tcPr>
            <w:tcW w:w="545" w:type="pct"/>
            <w:shd w:val="clear" w:color="auto" w:fill="auto"/>
          </w:tcPr>
          <w:p w14:paraId="4E042F7C" w14:textId="77777777" w:rsidR="00611C8C" w:rsidRPr="005577A5" w:rsidRDefault="00F039DE" w:rsidP="00387CB9">
            <w:pPr>
              <w:pStyle w:val="TableText"/>
              <w:rPr>
                <w:rFonts w:cstheme="minorHAnsi"/>
              </w:rPr>
            </w:pPr>
            <w:r w:rsidRPr="005577A5">
              <w:rPr>
                <w:rFonts w:cstheme="minorHAnsi"/>
              </w:rPr>
              <w:t>Garten 1990</w:t>
            </w:r>
          </w:p>
        </w:tc>
      </w:tr>
      <w:tr w:rsidR="00690C51" w14:paraId="4E042F82" w14:textId="77777777" w:rsidTr="0031060C">
        <w:trPr>
          <w:cantSplit/>
        </w:trPr>
        <w:tc>
          <w:tcPr>
            <w:tcW w:w="405" w:type="pct"/>
            <w:vMerge/>
            <w:shd w:val="clear" w:color="auto" w:fill="auto"/>
          </w:tcPr>
          <w:p w14:paraId="4E042F7E" w14:textId="77777777" w:rsidR="00611C8C" w:rsidRPr="005577A5" w:rsidRDefault="00611C8C" w:rsidP="00387CB9">
            <w:pPr>
              <w:pStyle w:val="TableText"/>
              <w:rPr>
                <w:rFonts w:cstheme="minorHAnsi"/>
              </w:rPr>
            </w:pPr>
          </w:p>
        </w:tc>
        <w:tc>
          <w:tcPr>
            <w:tcW w:w="3543" w:type="pct"/>
            <w:gridSpan w:val="9"/>
            <w:tcBorders>
              <w:top w:val="nil"/>
            </w:tcBorders>
            <w:shd w:val="clear" w:color="auto" w:fill="auto"/>
          </w:tcPr>
          <w:p w14:paraId="4E042F7F" w14:textId="77777777" w:rsidR="00611C8C" w:rsidRPr="005577A5" w:rsidRDefault="00F039DE" w:rsidP="00387CB9">
            <w:pPr>
              <w:pStyle w:val="TableText"/>
              <w:rPr>
                <w:rFonts w:cstheme="minorHAnsi"/>
              </w:rPr>
            </w:pPr>
            <w:r>
              <w:rPr>
                <w:rFonts w:cstheme="minorHAnsi"/>
              </w:rPr>
              <w:t>–</w:t>
            </w:r>
          </w:p>
        </w:tc>
        <w:tc>
          <w:tcPr>
            <w:tcW w:w="507" w:type="pct"/>
            <w:shd w:val="clear" w:color="auto" w:fill="auto"/>
          </w:tcPr>
          <w:p w14:paraId="4E042F80" w14:textId="77777777" w:rsidR="00611C8C" w:rsidRPr="00B03C38" w:rsidRDefault="00F039DE" w:rsidP="00387CB9">
            <w:pPr>
              <w:pStyle w:val="TableText"/>
              <w:rPr>
                <w:rFonts w:cstheme="minorHAnsi"/>
              </w:rPr>
            </w:pPr>
            <w:r w:rsidRPr="00B03C38">
              <w:rPr>
                <w:rFonts w:cstheme="minorHAnsi"/>
              </w:rPr>
              <w:t>8</w:t>
            </w:r>
            <w:r w:rsidR="007F72A8">
              <w:rPr>
                <w:rFonts w:cstheme="minorHAnsi"/>
              </w:rPr>
              <w:t> </w:t>
            </w:r>
            <w:r w:rsidRPr="00B03C38">
              <w:rPr>
                <w:rFonts w:cstheme="minorHAnsi"/>
              </w:rPr>
              <w:t xml:space="preserve">944 </w:t>
            </w:r>
            <w:r w:rsidRPr="00822D99">
              <w:rPr>
                <w:rStyle w:val="Strong"/>
                <w:vertAlign w:val="superscript"/>
              </w:rPr>
              <w:t>b</w:t>
            </w:r>
          </w:p>
        </w:tc>
        <w:tc>
          <w:tcPr>
            <w:tcW w:w="545" w:type="pct"/>
            <w:shd w:val="clear" w:color="auto" w:fill="auto"/>
          </w:tcPr>
          <w:p w14:paraId="4E042F81" w14:textId="77777777" w:rsidR="00611C8C" w:rsidRPr="00DC0918" w:rsidRDefault="00F039DE" w:rsidP="00DC0918">
            <w:pPr>
              <w:pStyle w:val="TableText"/>
              <w:rPr>
                <w:b/>
                <w:bCs/>
              </w:rPr>
            </w:pPr>
            <w:r w:rsidRPr="00DC0918">
              <w:rPr>
                <w:b/>
                <w:bCs/>
              </w:rPr>
              <w:t>Geometric mean</w:t>
            </w:r>
          </w:p>
        </w:tc>
      </w:tr>
      <w:tr w:rsidR="00690C51" w14:paraId="4E042F8F" w14:textId="77777777" w:rsidTr="0031060C">
        <w:trPr>
          <w:cantSplit/>
        </w:trPr>
        <w:tc>
          <w:tcPr>
            <w:tcW w:w="405" w:type="pct"/>
            <w:vMerge/>
            <w:shd w:val="clear" w:color="auto" w:fill="auto"/>
          </w:tcPr>
          <w:p w14:paraId="4E042F83" w14:textId="77777777" w:rsidR="00611C8C" w:rsidRPr="005577A5" w:rsidRDefault="00611C8C" w:rsidP="00387CB9">
            <w:pPr>
              <w:pStyle w:val="TableText"/>
              <w:rPr>
                <w:rFonts w:cstheme="minorHAnsi"/>
              </w:rPr>
            </w:pPr>
          </w:p>
        </w:tc>
        <w:tc>
          <w:tcPr>
            <w:tcW w:w="506" w:type="pct"/>
            <w:shd w:val="clear" w:color="auto" w:fill="auto"/>
          </w:tcPr>
          <w:p w14:paraId="4E042F84" w14:textId="77777777" w:rsidR="00611C8C" w:rsidRPr="005577A5" w:rsidRDefault="00F039DE" w:rsidP="00387CB9">
            <w:pPr>
              <w:pStyle w:val="TableText"/>
              <w:rPr>
                <w:rFonts w:cstheme="minorHAnsi"/>
                <w:i/>
              </w:rPr>
            </w:pPr>
            <w:r w:rsidRPr="005D54AD">
              <w:rPr>
                <w:rFonts w:cstheme="minorHAnsi"/>
                <w:i/>
              </w:rPr>
              <w:t>Chlorella vulgaris</w:t>
            </w:r>
          </w:p>
        </w:tc>
        <w:tc>
          <w:tcPr>
            <w:tcW w:w="303" w:type="pct"/>
            <w:shd w:val="clear" w:color="auto" w:fill="auto"/>
          </w:tcPr>
          <w:p w14:paraId="4E042F85" w14:textId="77777777" w:rsidR="00611C8C" w:rsidRPr="005577A5" w:rsidRDefault="00F039DE" w:rsidP="00387CB9">
            <w:pPr>
              <w:pStyle w:val="TableText"/>
              <w:rPr>
                <w:rFonts w:cstheme="minorHAnsi"/>
              </w:rPr>
            </w:pPr>
            <w:r>
              <w:rPr>
                <w:rFonts w:cstheme="minorHAnsi"/>
              </w:rPr>
              <w:t>–</w:t>
            </w:r>
          </w:p>
        </w:tc>
        <w:tc>
          <w:tcPr>
            <w:tcW w:w="405" w:type="pct"/>
            <w:shd w:val="clear" w:color="auto" w:fill="auto"/>
          </w:tcPr>
          <w:p w14:paraId="4E042F86" w14:textId="77777777" w:rsidR="00611C8C" w:rsidRPr="005577A5" w:rsidRDefault="00F039DE" w:rsidP="00387CB9">
            <w:pPr>
              <w:pStyle w:val="TableText"/>
              <w:rPr>
                <w:rFonts w:cstheme="minorHAnsi"/>
              </w:rPr>
            </w:pPr>
            <w:r w:rsidRPr="005D54AD">
              <w:rPr>
                <w:rFonts w:cstheme="minorHAnsi"/>
              </w:rPr>
              <w:t>96</w:t>
            </w:r>
          </w:p>
        </w:tc>
        <w:tc>
          <w:tcPr>
            <w:tcW w:w="304" w:type="pct"/>
            <w:shd w:val="clear" w:color="auto" w:fill="auto"/>
          </w:tcPr>
          <w:p w14:paraId="4E042F87" w14:textId="77777777" w:rsidR="00611C8C" w:rsidRPr="005577A5" w:rsidRDefault="00F039DE" w:rsidP="00387CB9">
            <w:pPr>
              <w:pStyle w:val="TableText"/>
              <w:rPr>
                <w:rFonts w:cstheme="minorHAnsi"/>
              </w:rPr>
            </w:pPr>
            <w:r w:rsidRPr="005D54AD">
              <w:rPr>
                <w:rFonts w:cstheme="minorHAnsi"/>
              </w:rPr>
              <w:t>Chronic</w:t>
            </w:r>
          </w:p>
        </w:tc>
        <w:tc>
          <w:tcPr>
            <w:tcW w:w="607" w:type="pct"/>
            <w:shd w:val="clear" w:color="auto" w:fill="auto"/>
          </w:tcPr>
          <w:p w14:paraId="4E042F88" w14:textId="77777777" w:rsidR="00611C8C" w:rsidRPr="005577A5" w:rsidRDefault="00F039DE" w:rsidP="00387CB9">
            <w:pPr>
              <w:pStyle w:val="TableText"/>
              <w:rPr>
                <w:rFonts w:cstheme="minorHAnsi"/>
              </w:rPr>
            </w:pPr>
            <w:r w:rsidRPr="005577A5">
              <w:rPr>
                <w:rFonts w:cstheme="minorHAnsi"/>
              </w:rPr>
              <w:t>NOEC (Growth)</w:t>
            </w:r>
          </w:p>
        </w:tc>
        <w:tc>
          <w:tcPr>
            <w:tcW w:w="456" w:type="pct"/>
            <w:shd w:val="clear" w:color="auto" w:fill="auto"/>
          </w:tcPr>
          <w:p w14:paraId="4E042F89" w14:textId="77777777" w:rsidR="00611C8C" w:rsidRPr="005577A5" w:rsidRDefault="00F039DE" w:rsidP="00387CB9">
            <w:pPr>
              <w:pStyle w:val="TableText"/>
              <w:rPr>
                <w:rFonts w:cstheme="minorHAnsi"/>
              </w:rPr>
            </w:pPr>
            <w:r w:rsidRPr="005577A5">
              <w:rPr>
                <w:rFonts w:cstheme="minorHAnsi"/>
              </w:rPr>
              <w:t>Growth medium</w:t>
            </w:r>
          </w:p>
        </w:tc>
        <w:tc>
          <w:tcPr>
            <w:tcW w:w="355" w:type="pct"/>
            <w:shd w:val="clear" w:color="auto" w:fill="auto"/>
          </w:tcPr>
          <w:p w14:paraId="4E042F8A" w14:textId="77777777" w:rsidR="00611C8C" w:rsidRPr="005577A5" w:rsidRDefault="00F039DE" w:rsidP="00387CB9">
            <w:pPr>
              <w:pStyle w:val="TableText"/>
              <w:rPr>
                <w:rFonts w:cstheme="minorHAnsi"/>
              </w:rPr>
            </w:pPr>
            <w:r w:rsidRPr="005577A5">
              <w:rPr>
                <w:rFonts w:cstheme="minorHAnsi"/>
              </w:rPr>
              <w:t>24</w:t>
            </w:r>
            <w:r w:rsidR="00183F4A">
              <w:rPr>
                <w:rFonts w:cstheme="minorHAnsi"/>
              </w:rPr>
              <w:t>–</w:t>
            </w:r>
            <w:r w:rsidRPr="005577A5">
              <w:rPr>
                <w:rFonts w:cstheme="minorHAnsi"/>
              </w:rPr>
              <w:t>26</w:t>
            </w:r>
          </w:p>
        </w:tc>
        <w:tc>
          <w:tcPr>
            <w:tcW w:w="304" w:type="pct"/>
            <w:shd w:val="clear" w:color="auto" w:fill="auto"/>
          </w:tcPr>
          <w:p w14:paraId="4E042F8B" w14:textId="77777777" w:rsidR="00611C8C" w:rsidRPr="005577A5" w:rsidRDefault="00F039DE" w:rsidP="00387CB9">
            <w:pPr>
              <w:pStyle w:val="TableText"/>
              <w:rPr>
                <w:rFonts w:cstheme="minorHAnsi"/>
              </w:rPr>
            </w:pPr>
            <w:r>
              <w:rPr>
                <w:rFonts w:cstheme="minorHAnsi"/>
              </w:rPr>
              <w:t>–</w:t>
            </w:r>
          </w:p>
        </w:tc>
        <w:tc>
          <w:tcPr>
            <w:tcW w:w="303" w:type="pct"/>
            <w:shd w:val="clear" w:color="auto" w:fill="auto"/>
          </w:tcPr>
          <w:p w14:paraId="4E042F8C" w14:textId="77777777" w:rsidR="00611C8C" w:rsidRPr="005577A5" w:rsidRDefault="00F039DE" w:rsidP="00387CB9">
            <w:pPr>
              <w:pStyle w:val="TableText"/>
              <w:rPr>
                <w:rFonts w:cstheme="minorHAnsi"/>
              </w:rPr>
            </w:pPr>
            <w:r>
              <w:rPr>
                <w:rFonts w:cstheme="minorHAnsi"/>
              </w:rPr>
              <w:t>–</w:t>
            </w:r>
          </w:p>
        </w:tc>
        <w:tc>
          <w:tcPr>
            <w:tcW w:w="507" w:type="pct"/>
            <w:shd w:val="clear" w:color="auto" w:fill="auto"/>
          </w:tcPr>
          <w:p w14:paraId="4E042F8D" w14:textId="77777777" w:rsidR="00611C8C" w:rsidRPr="005577A5" w:rsidRDefault="00F039DE" w:rsidP="00387CB9">
            <w:pPr>
              <w:pStyle w:val="TableText"/>
              <w:rPr>
                <w:rFonts w:cstheme="minorHAnsi"/>
              </w:rPr>
            </w:pPr>
            <w:r w:rsidRPr="005577A5">
              <w:rPr>
                <w:rFonts w:cstheme="minorHAnsi"/>
              </w:rPr>
              <w:t>10</w:t>
            </w:r>
            <w:r w:rsidR="007F72A8">
              <w:rPr>
                <w:rFonts w:cstheme="minorHAnsi"/>
              </w:rPr>
              <w:t> </w:t>
            </w:r>
            <w:r>
              <w:rPr>
                <w:rFonts w:cstheme="minorHAnsi"/>
              </w:rPr>
              <w:t>00</w:t>
            </w:r>
            <w:r w:rsidRPr="005577A5">
              <w:rPr>
                <w:rFonts w:cstheme="minorHAnsi"/>
              </w:rPr>
              <w:t>0</w:t>
            </w:r>
            <w:r>
              <w:rPr>
                <w:rFonts w:cstheme="minorHAnsi"/>
              </w:rPr>
              <w:t xml:space="preserve"> </w:t>
            </w:r>
            <w:r w:rsidRPr="00822D99">
              <w:rPr>
                <w:rStyle w:val="Strong"/>
                <w:vertAlign w:val="superscript"/>
              </w:rPr>
              <w:t>b</w:t>
            </w:r>
          </w:p>
        </w:tc>
        <w:tc>
          <w:tcPr>
            <w:tcW w:w="545" w:type="pct"/>
            <w:shd w:val="clear" w:color="auto" w:fill="auto"/>
          </w:tcPr>
          <w:p w14:paraId="4E042F8E" w14:textId="77777777" w:rsidR="00611C8C" w:rsidRPr="005577A5" w:rsidRDefault="00F039DE" w:rsidP="00387CB9">
            <w:pPr>
              <w:pStyle w:val="TableText"/>
              <w:rPr>
                <w:rFonts w:cstheme="minorHAnsi"/>
              </w:rPr>
            </w:pPr>
            <w:r w:rsidRPr="005577A5">
              <w:rPr>
                <w:rFonts w:cstheme="minorHAnsi"/>
              </w:rPr>
              <w:t>Garten 1990</w:t>
            </w:r>
          </w:p>
        </w:tc>
      </w:tr>
      <w:tr w:rsidR="00690C51" w14:paraId="4E042F9C" w14:textId="77777777" w:rsidTr="0031060C">
        <w:trPr>
          <w:cantSplit/>
        </w:trPr>
        <w:tc>
          <w:tcPr>
            <w:tcW w:w="405" w:type="pct"/>
            <w:vMerge w:val="restart"/>
            <w:shd w:val="clear" w:color="auto" w:fill="auto"/>
          </w:tcPr>
          <w:p w14:paraId="4E042F90" w14:textId="77777777" w:rsidR="00611C8C" w:rsidRPr="005577A5" w:rsidRDefault="00F039DE" w:rsidP="00387CB9">
            <w:pPr>
              <w:pStyle w:val="TableText"/>
              <w:rPr>
                <w:rFonts w:cstheme="minorHAnsi"/>
              </w:rPr>
            </w:pPr>
            <w:r w:rsidRPr="005D54AD">
              <w:rPr>
                <w:rFonts w:cstheme="minorHAnsi"/>
              </w:rPr>
              <w:t>Crustacean</w:t>
            </w:r>
          </w:p>
        </w:tc>
        <w:tc>
          <w:tcPr>
            <w:tcW w:w="506" w:type="pct"/>
            <w:shd w:val="clear" w:color="auto" w:fill="auto"/>
          </w:tcPr>
          <w:p w14:paraId="4E042F91" w14:textId="77777777" w:rsidR="00611C8C" w:rsidRPr="005577A5" w:rsidRDefault="00F039DE" w:rsidP="00387CB9">
            <w:pPr>
              <w:pStyle w:val="TableText"/>
              <w:rPr>
                <w:rFonts w:cstheme="minorHAnsi"/>
                <w:i/>
              </w:rPr>
            </w:pPr>
            <w:r w:rsidRPr="005D54AD">
              <w:rPr>
                <w:rFonts w:cstheme="minorHAnsi"/>
                <w:i/>
              </w:rPr>
              <w:t>Gammarus pseudolimnaeus</w:t>
            </w:r>
          </w:p>
        </w:tc>
        <w:tc>
          <w:tcPr>
            <w:tcW w:w="303" w:type="pct"/>
            <w:shd w:val="clear" w:color="auto" w:fill="auto"/>
          </w:tcPr>
          <w:p w14:paraId="4E042F92" w14:textId="77777777" w:rsidR="00611C8C" w:rsidRPr="005577A5" w:rsidRDefault="00F039DE" w:rsidP="00387CB9">
            <w:pPr>
              <w:pStyle w:val="TableText"/>
              <w:rPr>
                <w:rFonts w:cstheme="minorHAnsi"/>
              </w:rPr>
            </w:pPr>
            <w:r w:rsidRPr="005D54AD">
              <w:rPr>
                <w:rFonts w:cstheme="minorHAnsi"/>
              </w:rPr>
              <w:t>Juvenile</w:t>
            </w:r>
          </w:p>
        </w:tc>
        <w:tc>
          <w:tcPr>
            <w:tcW w:w="405" w:type="pct"/>
            <w:shd w:val="clear" w:color="auto" w:fill="auto"/>
          </w:tcPr>
          <w:p w14:paraId="4E042F93" w14:textId="77777777" w:rsidR="00611C8C" w:rsidRPr="005577A5" w:rsidRDefault="00F039DE" w:rsidP="00387CB9">
            <w:pPr>
              <w:pStyle w:val="TableText"/>
              <w:rPr>
                <w:rFonts w:cstheme="minorHAnsi"/>
              </w:rPr>
            </w:pPr>
            <w:r w:rsidRPr="005D54AD">
              <w:rPr>
                <w:rFonts w:cstheme="minorHAnsi"/>
              </w:rPr>
              <w:t>96</w:t>
            </w:r>
          </w:p>
        </w:tc>
        <w:tc>
          <w:tcPr>
            <w:tcW w:w="304" w:type="pct"/>
            <w:shd w:val="clear" w:color="auto" w:fill="auto"/>
          </w:tcPr>
          <w:p w14:paraId="4E042F94" w14:textId="77777777" w:rsidR="00611C8C" w:rsidRPr="005577A5" w:rsidRDefault="00F039DE" w:rsidP="00387CB9">
            <w:pPr>
              <w:pStyle w:val="TableText"/>
              <w:rPr>
                <w:rFonts w:cstheme="minorHAnsi"/>
              </w:rPr>
            </w:pPr>
            <w:r w:rsidRPr="005D54AD">
              <w:rPr>
                <w:rFonts w:cstheme="minorHAnsi"/>
              </w:rPr>
              <w:t>Acute</w:t>
            </w:r>
          </w:p>
        </w:tc>
        <w:tc>
          <w:tcPr>
            <w:tcW w:w="607" w:type="pct"/>
            <w:shd w:val="clear" w:color="auto" w:fill="auto"/>
          </w:tcPr>
          <w:p w14:paraId="4E042F95" w14:textId="77777777" w:rsidR="00611C8C" w:rsidRPr="005577A5" w:rsidRDefault="00F039DE" w:rsidP="00387CB9">
            <w:pPr>
              <w:pStyle w:val="TableText"/>
              <w:rPr>
                <w:rFonts w:cstheme="minorHAnsi"/>
              </w:rPr>
            </w:pPr>
            <w:r w:rsidRPr="005577A5">
              <w:rPr>
                <w:rFonts w:cstheme="minorHAnsi"/>
              </w:rPr>
              <w:t>LC50 (Survival)</w:t>
            </w:r>
          </w:p>
        </w:tc>
        <w:tc>
          <w:tcPr>
            <w:tcW w:w="456" w:type="pct"/>
            <w:shd w:val="clear" w:color="auto" w:fill="auto"/>
          </w:tcPr>
          <w:p w14:paraId="4E042F96" w14:textId="77777777" w:rsidR="00611C8C" w:rsidRPr="005577A5" w:rsidRDefault="00F039DE" w:rsidP="00387CB9">
            <w:pPr>
              <w:pStyle w:val="TableText"/>
              <w:rPr>
                <w:rFonts w:cstheme="minorHAnsi"/>
              </w:rPr>
            </w:pPr>
            <w:r>
              <w:rPr>
                <w:rFonts w:cstheme="minorHAnsi"/>
              </w:rPr>
              <w:t>–</w:t>
            </w:r>
          </w:p>
        </w:tc>
        <w:tc>
          <w:tcPr>
            <w:tcW w:w="355" w:type="pct"/>
            <w:shd w:val="clear" w:color="auto" w:fill="auto"/>
          </w:tcPr>
          <w:p w14:paraId="4E042F97" w14:textId="77777777" w:rsidR="00611C8C" w:rsidRPr="005577A5" w:rsidRDefault="00F039DE" w:rsidP="00387CB9">
            <w:pPr>
              <w:pStyle w:val="TableText"/>
              <w:rPr>
                <w:rFonts w:cstheme="minorHAnsi"/>
              </w:rPr>
            </w:pPr>
            <w:r>
              <w:rPr>
                <w:rFonts w:cstheme="minorHAnsi"/>
              </w:rPr>
              <w:t>–</w:t>
            </w:r>
          </w:p>
        </w:tc>
        <w:tc>
          <w:tcPr>
            <w:tcW w:w="304" w:type="pct"/>
            <w:shd w:val="clear" w:color="auto" w:fill="auto"/>
          </w:tcPr>
          <w:p w14:paraId="4E042F98" w14:textId="77777777" w:rsidR="00611C8C" w:rsidRPr="005577A5" w:rsidRDefault="00F039DE" w:rsidP="00387CB9">
            <w:pPr>
              <w:pStyle w:val="TableText"/>
              <w:rPr>
                <w:rFonts w:cstheme="minorHAnsi"/>
              </w:rPr>
            </w:pPr>
            <w:r>
              <w:rPr>
                <w:rFonts w:cstheme="minorHAnsi"/>
              </w:rPr>
              <w:t>–</w:t>
            </w:r>
          </w:p>
        </w:tc>
        <w:tc>
          <w:tcPr>
            <w:tcW w:w="303" w:type="pct"/>
            <w:shd w:val="clear" w:color="auto" w:fill="auto"/>
          </w:tcPr>
          <w:p w14:paraId="4E042F99" w14:textId="77777777" w:rsidR="00611C8C" w:rsidRPr="005577A5" w:rsidRDefault="00F039DE" w:rsidP="00387CB9">
            <w:pPr>
              <w:pStyle w:val="TableText"/>
              <w:rPr>
                <w:rFonts w:cstheme="minorHAnsi"/>
              </w:rPr>
            </w:pPr>
            <w:r>
              <w:rPr>
                <w:rFonts w:cstheme="minorHAnsi"/>
              </w:rPr>
              <w:t>–</w:t>
            </w:r>
          </w:p>
        </w:tc>
        <w:tc>
          <w:tcPr>
            <w:tcW w:w="507" w:type="pct"/>
            <w:shd w:val="clear" w:color="auto" w:fill="auto"/>
          </w:tcPr>
          <w:p w14:paraId="4E042F9A" w14:textId="77777777" w:rsidR="00611C8C" w:rsidRPr="005577A5" w:rsidRDefault="00F039DE" w:rsidP="00387CB9">
            <w:pPr>
              <w:pStyle w:val="TableText"/>
              <w:rPr>
                <w:rFonts w:cstheme="minorHAnsi"/>
              </w:rPr>
            </w:pPr>
            <w:r w:rsidRPr="005577A5">
              <w:rPr>
                <w:rFonts w:cstheme="minorHAnsi"/>
              </w:rPr>
              <w:t>16</w:t>
            </w:r>
            <w:r w:rsidR="007F72A8">
              <w:rPr>
                <w:rFonts w:cstheme="minorHAnsi"/>
              </w:rPr>
              <w:t> </w:t>
            </w:r>
            <w:r w:rsidRPr="005577A5">
              <w:rPr>
                <w:rFonts w:cstheme="minorHAnsi"/>
              </w:rPr>
              <w:t>500</w:t>
            </w:r>
            <w:r>
              <w:rPr>
                <w:rFonts w:cstheme="minorHAnsi"/>
              </w:rPr>
              <w:t xml:space="preserve"> </w:t>
            </w:r>
            <w:r w:rsidRPr="00822D99">
              <w:rPr>
                <w:rStyle w:val="Strong"/>
                <w:vertAlign w:val="superscript"/>
              </w:rPr>
              <w:t>c</w:t>
            </w:r>
          </w:p>
        </w:tc>
        <w:tc>
          <w:tcPr>
            <w:tcW w:w="545" w:type="pct"/>
            <w:shd w:val="clear" w:color="auto" w:fill="auto"/>
          </w:tcPr>
          <w:p w14:paraId="4E042F9B" w14:textId="77777777" w:rsidR="00611C8C" w:rsidRPr="005577A5"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2FA9" w14:textId="77777777" w:rsidTr="0031060C">
        <w:trPr>
          <w:cantSplit/>
        </w:trPr>
        <w:tc>
          <w:tcPr>
            <w:tcW w:w="405" w:type="pct"/>
            <w:vMerge/>
            <w:shd w:val="clear" w:color="auto" w:fill="auto"/>
          </w:tcPr>
          <w:p w14:paraId="4E042F9D" w14:textId="77777777" w:rsidR="00611C8C" w:rsidRPr="005D54AD" w:rsidRDefault="00611C8C" w:rsidP="00387CB9">
            <w:pPr>
              <w:pStyle w:val="TableText"/>
              <w:rPr>
                <w:rFonts w:cstheme="minorHAnsi"/>
              </w:rPr>
            </w:pPr>
          </w:p>
        </w:tc>
        <w:tc>
          <w:tcPr>
            <w:tcW w:w="506" w:type="pct"/>
            <w:shd w:val="clear" w:color="auto" w:fill="auto"/>
          </w:tcPr>
          <w:p w14:paraId="4E042F9E" w14:textId="77777777" w:rsidR="00611C8C" w:rsidRPr="00C25395" w:rsidRDefault="00F039DE" w:rsidP="00387CB9">
            <w:pPr>
              <w:pStyle w:val="TableText"/>
              <w:rPr>
                <w:rFonts w:cstheme="minorHAnsi"/>
              </w:rPr>
            </w:pPr>
            <w:r w:rsidRPr="00C25395">
              <w:rPr>
                <w:rFonts w:cstheme="minorHAnsi"/>
                <w:i/>
              </w:rPr>
              <w:t>Gammarus fasciatus</w:t>
            </w:r>
          </w:p>
        </w:tc>
        <w:tc>
          <w:tcPr>
            <w:tcW w:w="303" w:type="pct"/>
            <w:shd w:val="clear" w:color="auto" w:fill="auto"/>
          </w:tcPr>
          <w:p w14:paraId="4E042F9F" w14:textId="77777777" w:rsidR="00611C8C" w:rsidRPr="005D54AD" w:rsidRDefault="00F039DE" w:rsidP="00387CB9">
            <w:pPr>
              <w:pStyle w:val="TableText"/>
              <w:rPr>
                <w:rFonts w:cstheme="minorHAnsi"/>
              </w:rPr>
            </w:pPr>
            <w:r w:rsidRPr="005D54AD">
              <w:rPr>
                <w:rFonts w:cstheme="minorHAnsi"/>
              </w:rPr>
              <w:t>Adult</w:t>
            </w:r>
          </w:p>
        </w:tc>
        <w:tc>
          <w:tcPr>
            <w:tcW w:w="405" w:type="pct"/>
            <w:shd w:val="clear" w:color="auto" w:fill="auto"/>
          </w:tcPr>
          <w:p w14:paraId="4E042FA0" w14:textId="77777777" w:rsidR="00611C8C" w:rsidRPr="005D54AD" w:rsidRDefault="00F039DE" w:rsidP="00387CB9">
            <w:pPr>
              <w:pStyle w:val="TableText"/>
              <w:rPr>
                <w:rFonts w:cstheme="minorHAnsi"/>
              </w:rPr>
            </w:pPr>
            <w:r w:rsidRPr="005D54AD">
              <w:rPr>
                <w:rFonts w:cstheme="minorHAnsi"/>
              </w:rPr>
              <w:t>96</w:t>
            </w:r>
          </w:p>
        </w:tc>
        <w:tc>
          <w:tcPr>
            <w:tcW w:w="304" w:type="pct"/>
            <w:shd w:val="clear" w:color="auto" w:fill="auto"/>
          </w:tcPr>
          <w:p w14:paraId="4E042FA1" w14:textId="77777777" w:rsidR="00611C8C" w:rsidRPr="005D54AD" w:rsidRDefault="00F039DE" w:rsidP="00387CB9">
            <w:pPr>
              <w:pStyle w:val="TableText"/>
              <w:rPr>
                <w:rFonts w:cstheme="minorHAnsi"/>
              </w:rPr>
            </w:pPr>
            <w:r w:rsidRPr="005D54AD">
              <w:rPr>
                <w:rFonts w:cstheme="minorHAnsi"/>
              </w:rPr>
              <w:t>Acute</w:t>
            </w:r>
          </w:p>
        </w:tc>
        <w:tc>
          <w:tcPr>
            <w:tcW w:w="607" w:type="pct"/>
            <w:shd w:val="clear" w:color="auto" w:fill="auto"/>
          </w:tcPr>
          <w:p w14:paraId="4E042FA2" w14:textId="77777777" w:rsidR="00611C8C" w:rsidRPr="005D54AD" w:rsidRDefault="00F039DE" w:rsidP="00387CB9">
            <w:pPr>
              <w:pStyle w:val="TableText"/>
              <w:rPr>
                <w:rFonts w:cstheme="minorHAnsi"/>
              </w:rPr>
            </w:pPr>
            <w:r w:rsidRPr="005577A5">
              <w:rPr>
                <w:rFonts w:cstheme="minorHAnsi"/>
              </w:rPr>
              <w:t>LC50 (Survival)</w:t>
            </w:r>
          </w:p>
        </w:tc>
        <w:tc>
          <w:tcPr>
            <w:tcW w:w="456" w:type="pct"/>
            <w:shd w:val="clear" w:color="auto" w:fill="auto"/>
          </w:tcPr>
          <w:p w14:paraId="4E042FA3" w14:textId="77777777" w:rsidR="00611C8C" w:rsidRPr="00C25395" w:rsidRDefault="00F039DE" w:rsidP="00387CB9">
            <w:pPr>
              <w:pStyle w:val="TableText"/>
              <w:rPr>
                <w:rFonts w:cstheme="minorHAnsi"/>
              </w:rPr>
            </w:pPr>
            <w:r>
              <w:rPr>
                <w:rFonts w:cstheme="minorHAnsi"/>
              </w:rPr>
              <w:t>–</w:t>
            </w:r>
          </w:p>
        </w:tc>
        <w:tc>
          <w:tcPr>
            <w:tcW w:w="355" w:type="pct"/>
            <w:shd w:val="clear" w:color="auto" w:fill="auto"/>
          </w:tcPr>
          <w:p w14:paraId="4E042FA4" w14:textId="77777777" w:rsidR="00611C8C" w:rsidRPr="00C25395" w:rsidRDefault="00F039DE" w:rsidP="00387CB9">
            <w:pPr>
              <w:pStyle w:val="TableText"/>
              <w:rPr>
                <w:rFonts w:cstheme="minorHAnsi"/>
              </w:rPr>
            </w:pPr>
            <w:r>
              <w:rPr>
                <w:rFonts w:cstheme="minorHAnsi"/>
              </w:rPr>
              <w:t>–</w:t>
            </w:r>
          </w:p>
        </w:tc>
        <w:tc>
          <w:tcPr>
            <w:tcW w:w="304" w:type="pct"/>
            <w:shd w:val="clear" w:color="auto" w:fill="auto"/>
          </w:tcPr>
          <w:p w14:paraId="4E042FA5" w14:textId="77777777" w:rsidR="00611C8C" w:rsidRPr="00C25395" w:rsidRDefault="00F039DE" w:rsidP="00387CB9">
            <w:pPr>
              <w:pStyle w:val="TableText"/>
              <w:rPr>
                <w:rFonts w:cstheme="minorHAnsi"/>
              </w:rPr>
            </w:pPr>
            <w:r>
              <w:rPr>
                <w:rFonts w:cstheme="minorHAnsi"/>
              </w:rPr>
              <w:t>–</w:t>
            </w:r>
          </w:p>
        </w:tc>
        <w:tc>
          <w:tcPr>
            <w:tcW w:w="303" w:type="pct"/>
            <w:shd w:val="clear" w:color="auto" w:fill="auto"/>
          </w:tcPr>
          <w:p w14:paraId="4E042FA6" w14:textId="77777777" w:rsidR="00611C8C" w:rsidRPr="005D54AD" w:rsidRDefault="00F039DE" w:rsidP="00387CB9">
            <w:pPr>
              <w:pStyle w:val="TableText"/>
              <w:rPr>
                <w:rFonts w:cstheme="minorHAnsi"/>
              </w:rPr>
            </w:pPr>
            <w:r>
              <w:rPr>
                <w:rFonts w:cstheme="minorHAnsi"/>
              </w:rPr>
              <w:t>–</w:t>
            </w:r>
          </w:p>
        </w:tc>
        <w:tc>
          <w:tcPr>
            <w:tcW w:w="507" w:type="pct"/>
            <w:shd w:val="clear" w:color="auto" w:fill="auto"/>
          </w:tcPr>
          <w:p w14:paraId="4E042FA7" w14:textId="77777777" w:rsidR="00611C8C" w:rsidRPr="005D54AD" w:rsidRDefault="00F039DE" w:rsidP="00387CB9">
            <w:pPr>
              <w:pStyle w:val="TableText"/>
              <w:rPr>
                <w:rFonts w:cstheme="minorHAnsi"/>
              </w:rPr>
            </w:pPr>
            <w:r w:rsidRPr="005D54AD">
              <w:rPr>
                <w:rFonts w:cstheme="minorHAnsi"/>
              </w:rPr>
              <w:t>27</w:t>
            </w:r>
            <w:r w:rsidR="007F72A8">
              <w:rPr>
                <w:rFonts w:cstheme="minorHAnsi"/>
              </w:rPr>
              <w:t> </w:t>
            </w:r>
            <w:r w:rsidRPr="005D54AD">
              <w:rPr>
                <w:rFonts w:cstheme="minorHAnsi"/>
              </w:rPr>
              <w:t>000</w:t>
            </w:r>
            <w:r>
              <w:rPr>
                <w:rFonts w:cstheme="minorHAnsi"/>
              </w:rPr>
              <w:t xml:space="preserve"> </w:t>
            </w:r>
            <w:r w:rsidRPr="00822D99">
              <w:rPr>
                <w:rStyle w:val="Strong"/>
                <w:vertAlign w:val="superscript"/>
              </w:rPr>
              <w:t>c</w:t>
            </w:r>
          </w:p>
        </w:tc>
        <w:tc>
          <w:tcPr>
            <w:tcW w:w="545" w:type="pct"/>
            <w:shd w:val="clear" w:color="auto" w:fill="auto"/>
          </w:tcPr>
          <w:p w14:paraId="4E042FA8" w14:textId="77777777" w:rsidR="00611C8C" w:rsidRPr="005D54AD"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2FB6" w14:textId="77777777" w:rsidTr="0031060C">
        <w:trPr>
          <w:cantSplit/>
        </w:trPr>
        <w:tc>
          <w:tcPr>
            <w:tcW w:w="405" w:type="pct"/>
            <w:vMerge/>
            <w:shd w:val="clear" w:color="auto" w:fill="auto"/>
          </w:tcPr>
          <w:p w14:paraId="4E042FAA" w14:textId="77777777" w:rsidR="00611C8C" w:rsidRPr="005D54AD" w:rsidRDefault="00611C8C" w:rsidP="00387CB9">
            <w:pPr>
              <w:pStyle w:val="TableText"/>
              <w:rPr>
                <w:rFonts w:cstheme="minorHAnsi"/>
              </w:rPr>
            </w:pPr>
          </w:p>
        </w:tc>
        <w:tc>
          <w:tcPr>
            <w:tcW w:w="506" w:type="pct"/>
            <w:shd w:val="clear" w:color="auto" w:fill="auto"/>
          </w:tcPr>
          <w:p w14:paraId="4E042FAB" w14:textId="77777777" w:rsidR="00611C8C" w:rsidRPr="00C25395" w:rsidRDefault="00F039DE" w:rsidP="00387CB9">
            <w:pPr>
              <w:pStyle w:val="TableText"/>
              <w:rPr>
                <w:rFonts w:cstheme="minorHAnsi"/>
                <w:i/>
              </w:rPr>
            </w:pPr>
            <w:r w:rsidRPr="00C25395">
              <w:rPr>
                <w:rFonts w:cstheme="minorHAnsi"/>
                <w:i/>
              </w:rPr>
              <w:t>Daphnia magna</w:t>
            </w:r>
          </w:p>
        </w:tc>
        <w:tc>
          <w:tcPr>
            <w:tcW w:w="303" w:type="pct"/>
            <w:shd w:val="clear" w:color="auto" w:fill="auto"/>
          </w:tcPr>
          <w:p w14:paraId="4E042FAC" w14:textId="77777777" w:rsidR="00611C8C" w:rsidRPr="005D54AD" w:rsidRDefault="00F039DE" w:rsidP="00387CB9">
            <w:pPr>
              <w:pStyle w:val="TableText"/>
              <w:rPr>
                <w:rFonts w:cstheme="minorHAnsi"/>
              </w:rPr>
            </w:pPr>
            <w:r w:rsidRPr="00C25395">
              <w:rPr>
                <w:rFonts w:cstheme="minorHAnsi"/>
              </w:rPr>
              <w:t>Neonate</w:t>
            </w:r>
          </w:p>
        </w:tc>
        <w:tc>
          <w:tcPr>
            <w:tcW w:w="405" w:type="pct"/>
            <w:shd w:val="clear" w:color="auto" w:fill="auto"/>
          </w:tcPr>
          <w:p w14:paraId="4E042FAD" w14:textId="77777777" w:rsidR="00611C8C" w:rsidRPr="005D54AD" w:rsidRDefault="00F039DE" w:rsidP="00387CB9">
            <w:pPr>
              <w:pStyle w:val="TableText"/>
              <w:rPr>
                <w:rFonts w:cstheme="minorHAnsi"/>
              </w:rPr>
            </w:pPr>
            <w:r w:rsidRPr="005D54AD">
              <w:rPr>
                <w:rFonts w:cstheme="minorHAnsi"/>
              </w:rPr>
              <w:t>504</w:t>
            </w:r>
          </w:p>
        </w:tc>
        <w:tc>
          <w:tcPr>
            <w:tcW w:w="304" w:type="pct"/>
            <w:shd w:val="clear" w:color="auto" w:fill="auto"/>
          </w:tcPr>
          <w:p w14:paraId="4E042FAE" w14:textId="77777777" w:rsidR="00611C8C" w:rsidRPr="005D54AD" w:rsidRDefault="00F039DE" w:rsidP="00387CB9">
            <w:pPr>
              <w:pStyle w:val="TableText"/>
              <w:rPr>
                <w:rFonts w:cstheme="minorHAnsi"/>
              </w:rPr>
            </w:pPr>
            <w:r w:rsidRPr="005D54AD">
              <w:rPr>
                <w:rFonts w:cstheme="minorHAnsi"/>
              </w:rPr>
              <w:t>Chronic</w:t>
            </w:r>
          </w:p>
        </w:tc>
        <w:tc>
          <w:tcPr>
            <w:tcW w:w="607" w:type="pct"/>
            <w:shd w:val="clear" w:color="auto" w:fill="auto"/>
          </w:tcPr>
          <w:p w14:paraId="4E042FAF" w14:textId="77777777" w:rsidR="00611C8C" w:rsidRPr="005577A5" w:rsidRDefault="00F039DE" w:rsidP="00387CB9">
            <w:pPr>
              <w:pStyle w:val="TableText"/>
              <w:rPr>
                <w:rFonts w:cstheme="minorHAnsi"/>
              </w:rPr>
            </w:pPr>
            <w:r w:rsidRPr="005577A5">
              <w:rPr>
                <w:rFonts w:cstheme="minorHAnsi"/>
              </w:rPr>
              <w:t>NOEC (Reproduction)</w:t>
            </w:r>
          </w:p>
        </w:tc>
        <w:tc>
          <w:tcPr>
            <w:tcW w:w="456" w:type="pct"/>
            <w:shd w:val="clear" w:color="auto" w:fill="auto"/>
          </w:tcPr>
          <w:p w14:paraId="4E042FB0" w14:textId="77777777" w:rsidR="00611C8C" w:rsidRPr="005577A5" w:rsidRDefault="00F039DE" w:rsidP="00387CB9">
            <w:pPr>
              <w:pStyle w:val="TableText"/>
              <w:rPr>
                <w:rFonts w:cstheme="minorHAnsi"/>
              </w:rPr>
            </w:pPr>
            <w:r w:rsidRPr="005577A5">
              <w:rPr>
                <w:rFonts w:cstheme="minorHAnsi"/>
              </w:rPr>
              <w:t>Treated tap water</w:t>
            </w:r>
          </w:p>
        </w:tc>
        <w:tc>
          <w:tcPr>
            <w:tcW w:w="355" w:type="pct"/>
            <w:shd w:val="clear" w:color="auto" w:fill="auto"/>
          </w:tcPr>
          <w:p w14:paraId="4E042FB1" w14:textId="77777777" w:rsidR="00611C8C" w:rsidRPr="005577A5" w:rsidRDefault="00F039DE" w:rsidP="00387CB9">
            <w:pPr>
              <w:pStyle w:val="TableText"/>
              <w:rPr>
                <w:rFonts w:cstheme="minorHAnsi"/>
              </w:rPr>
            </w:pPr>
            <w:r w:rsidRPr="005577A5">
              <w:rPr>
                <w:rFonts w:cstheme="minorHAnsi"/>
              </w:rPr>
              <w:t>20</w:t>
            </w:r>
            <w:r w:rsidR="00183F4A">
              <w:rPr>
                <w:rFonts w:cstheme="minorHAnsi"/>
              </w:rPr>
              <w:t>–</w:t>
            </w:r>
            <w:r w:rsidRPr="005577A5">
              <w:rPr>
                <w:rFonts w:cstheme="minorHAnsi"/>
              </w:rPr>
              <w:t>20.9</w:t>
            </w:r>
          </w:p>
        </w:tc>
        <w:tc>
          <w:tcPr>
            <w:tcW w:w="304" w:type="pct"/>
            <w:shd w:val="clear" w:color="auto" w:fill="auto"/>
          </w:tcPr>
          <w:p w14:paraId="4E042FB2" w14:textId="77777777" w:rsidR="00611C8C" w:rsidRPr="005577A5" w:rsidRDefault="00F039DE" w:rsidP="00387CB9">
            <w:pPr>
              <w:pStyle w:val="TableText"/>
              <w:rPr>
                <w:rFonts w:cstheme="minorHAnsi"/>
              </w:rPr>
            </w:pPr>
            <w:r>
              <w:rPr>
                <w:rFonts w:cstheme="minorHAnsi"/>
              </w:rPr>
              <w:t>–</w:t>
            </w:r>
          </w:p>
        </w:tc>
        <w:tc>
          <w:tcPr>
            <w:tcW w:w="303" w:type="pct"/>
            <w:shd w:val="clear" w:color="auto" w:fill="auto"/>
          </w:tcPr>
          <w:p w14:paraId="4E042FB3" w14:textId="77777777" w:rsidR="00611C8C" w:rsidRPr="005577A5" w:rsidRDefault="00F039DE" w:rsidP="00387CB9">
            <w:pPr>
              <w:pStyle w:val="TableText"/>
              <w:rPr>
                <w:rFonts w:cstheme="minorHAnsi"/>
              </w:rPr>
            </w:pPr>
            <w:r w:rsidRPr="005577A5">
              <w:rPr>
                <w:rFonts w:cstheme="minorHAnsi"/>
              </w:rPr>
              <w:t>7</w:t>
            </w:r>
            <w:r w:rsidR="00637F9E">
              <w:rPr>
                <w:rFonts w:cstheme="minorHAnsi"/>
              </w:rPr>
              <w:t>.</w:t>
            </w:r>
            <w:r w:rsidRPr="005577A5">
              <w:rPr>
                <w:rFonts w:cstheme="minorHAnsi"/>
              </w:rPr>
              <w:t>2</w:t>
            </w:r>
            <w:r w:rsidR="0041757E">
              <w:rPr>
                <w:rFonts w:cstheme="minorHAnsi"/>
              </w:rPr>
              <w:t>–</w:t>
            </w:r>
            <w:r w:rsidRPr="005577A5">
              <w:rPr>
                <w:rFonts w:cstheme="minorHAnsi"/>
              </w:rPr>
              <w:t>8.2</w:t>
            </w:r>
          </w:p>
        </w:tc>
        <w:tc>
          <w:tcPr>
            <w:tcW w:w="507" w:type="pct"/>
            <w:shd w:val="clear" w:color="auto" w:fill="auto"/>
          </w:tcPr>
          <w:p w14:paraId="4E042FB4" w14:textId="77777777" w:rsidR="00611C8C" w:rsidRPr="005577A5" w:rsidRDefault="00F039DE" w:rsidP="00387CB9">
            <w:pPr>
              <w:pStyle w:val="TableText"/>
              <w:rPr>
                <w:rFonts w:cstheme="minorHAnsi"/>
              </w:rPr>
            </w:pPr>
            <w:r w:rsidRPr="005577A5">
              <w:rPr>
                <w:rFonts w:cstheme="minorHAnsi"/>
              </w:rPr>
              <w:t>11</w:t>
            </w:r>
            <w:r w:rsidR="007F72A8">
              <w:rPr>
                <w:rFonts w:cstheme="minorHAnsi"/>
              </w:rPr>
              <w:t> </w:t>
            </w:r>
            <w:r w:rsidRPr="005577A5">
              <w:rPr>
                <w:rFonts w:cstheme="minorHAnsi"/>
              </w:rPr>
              <w:t>800</w:t>
            </w:r>
            <w:r>
              <w:rPr>
                <w:rFonts w:cstheme="minorHAnsi"/>
              </w:rPr>
              <w:t xml:space="preserve"> </w:t>
            </w:r>
            <w:r w:rsidRPr="00822D99">
              <w:rPr>
                <w:rStyle w:val="Strong"/>
                <w:vertAlign w:val="superscript"/>
              </w:rPr>
              <w:t>b</w:t>
            </w:r>
          </w:p>
        </w:tc>
        <w:tc>
          <w:tcPr>
            <w:tcW w:w="545" w:type="pct"/>
            <w:shd w:val="clear" w:color="auto" w:fill="auto"/>
          </w:tcPr>
          <w:p w14:paraId="4E042FB5" w14:textId="77777777" w:rsidR="00611C8C" w:rsidRPr="005577A5"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2FC3" w14:textId="77777777" w:rsidTr="0031060C">
        <w:trPr>
          <w:cantSplit/>
        </w:trPr>
        <w:tc>
          <w:tcPr>
            <w:tcW w:w="405" w:type="pct"/>
            <w:shd w:val="clear" w:color="auto" w:fill="auto"/>
          </w:tcPr>
          <w:p w14:paraId="4E042FB7" w14:textId="77777777" w:rsidR="00487995" w:rsidRPr="005577A5" w:rsidRDefault="00F039DE" w:rsidP="002604E9">
            <w:pPr>
              <w:pStyle w:val="TableText"/>
              <w:rPr>
                <w:rFonts w:cstheme="minorHAnsi"/>
              </w:rPr>
            </w:pPr>
            <w:r w:rsidRPr="005D54AD">
              <w:rPr>
                <w:rFonts w:cstheme="minorHAnsi"/>
              </w:rPr>
              <w:t>Insect</w:t>
            </w:r>
          </w:p>
        </w:tc>
        <w:tc>
          <w:tcPr>
            <w:tcW w:w="506" w:type="pct"/>
            <w:shd w:val="clear" w:color="auto" w:fill="auto"/>
          </w:tcPr>
          <w:p w14:paraId="4E042FB8" w14:textId="77777777" w:rsidR="007E5AD1" w:rsidRPr="005577A5" w:rsidRDefault="00F039DE" w:rsidP="00387CB9">
            <w:pPr>
              <w:pStyle w:val="TableText"/>
              <w:rPr>
                <w:rFonts w:cstheme="minorHAnsi"/>
                <w:i/>
              </w:rPr>
            </w:pPr>
            <w:r w:rsidRPr="005D54AD">
              <w:rPr>
                <w:rFonts w:cstheme="minorHAnsi"/>
                <w:i/>
              </w:rPr>
              <w:t>Pteronarcys californica</w:t>
            </w:r>
          </w:p>
        </w:tc>
        <w:tc>
          <w:tcPr>
            <w:tcW w:w="303" w:type="pct"/>
            <w:shd w:val="clear" w:color="auto" w:fill="auto"/>
          </w:tcPr>
          <w:p w14:paraId="4E042FB9" w14:textId="77777777" w:rsidR="007E5AD1" w:rsidRPr="005577A5" w:rsidRDefault="00F039DE" w:rsidP="00387CB9">
            <w:pPr>
              <w:pStyle w:val="TableText"/>
              <w:rPr>
                <w:rFonts w:cstheme="minorHAnsi"/>
              </w:rPr>
            </w:pPr>
            <w:r w:rsidRPr="005D54AD">
              <w:rPr>
                <w:rFonts w:cstheme="minorHAnsi"/>
              </w:rPr>
              <w:t>YC-2</w:t>
            </w:r>
          </w:p>
        </w:tc>
        <w:tc>
          <w:tcPr>
            <w:tcW w:w="405" w:type="pct"/>
            <w:shd w:val="clear" w:color="auto" w:fill="auto"/>
          </w:tcPr>
          <w:p w14:paraId="4E042FBA" w14:textId="77777777" w:rsidR="007E5AD1" w:rsidRPr="005577A5" w:rsidRDefault="00F039DE" w:rsidP="00387CB9">
            <w:pPr>
              <w:pStyle w:val="TableText"/>
              <w:rPr>
                <w:rFonts w:cstheme="minorHAnsi"/>
              </w:rPr>
            </w:pPr>
            <w:r w:rsidRPr="005D54AD">
              <w:rPr>
                <w:rFonts w:cstheme="minorHAnsi"/>
              </w:rPr>
              <w:t>240</w:t>
            </w:r>
          </w:p>
        </w:tc>
        <w:tc>
          <w:tcPr>
            <w:tcW w:w="304" w:type="pct"/>
            <w:shd w:val="clear" w:color="auto" w:fill="auto"/>
          </w:tcPr>
          <w:p w14:paraId="4E042FBB" w14:textId="77777777" w:rsidR="007E5AD1" w:rsidRPr="005577A5" w:rsidRDefault="00F039DE" w:rsidP="00387CB9">
            <w:pPr>
              <w:pStyle w:val="TableText"/>
              <w:rPr>
                <w:rFonts w:cstheme="minorHAnsi"/>
              </w:rPr>
            </w:pPr>
            <w:r w:rsidRPr="005D54AD">
              <w:rPr>
                <w:rFonts w:cstheme="minorHAnsi"/>
              </w:rPr>
              <w:t>Acute</w:t>
            </w:r>
          </w:p>
        </w:tc>
        <w:tc>
          <w:tcPr>
            <w:tcW w:w="607" w:type="pct"/>
            <w:shd w:val="clear" w:color="auto" w:fill="auto"/>
          </w:tcPr>
          <w:p w14:paraId="4E042FBC" w14:textId="77777777" w:rsidR="007E5AD1" w:rsidRPr="005577A5" w:rsidRDefault="00F039DE" w:rsidP="00387CB9">
            <w:pPr>
              <w:pStyle w:val="TableText"/>
              <w:rPr>
                <w:rFonts w:cstheme="minorHAnsi"/>
              </w:rPr>
            </w:pPr>
            <w:r w:rsidRPr="005577A5">
              <w:rPr>
                <w:rFonts w:cstheme="minorHAnsi"/>
              </w:rPr>
              <w:t>LC50 (Survival)</w:t>
            </w:r>
          </w:p>
        </w:tc>
        <w:tc>
          <w:tcPr>
            <w:tcW w:w="456" w:type="pct"/>
            <w:shd w:val="clear" w:color="auto" w:fill="auto"/>
          </w:tcPr>
          <w:p w14:paraId="4E042FBD" w14:textId="77777777" w:rsidR="007E5AD1" w:rsidRPr="005577A5" w:rsidRDefault="00F039DE" w:rsidP="00387CB9">
            <w:pPr>
              <w:pStyle w:val="TableText"/>
              <w:rPr>
                <w:rFonts w:cstheme="minorHAnsi"/>
              </w:rPr>
            </w:pPr>
            <w:r>
              <w:rPr>
                <w:rFonts w:cstheme="minorHAnsi"/>
              </w:rPr>
              <w:t>–</w:t>
            </w:r>
          </w:p>
        </w:tc>
        <w:tc>
          <w:tcPr>
            <w:tcW w:w="355" w:type="pct"/>
            <w:shd w:val="clear" w:color="auto" w:fill="auto"/>
          </w:tcPr>
          <w:p w14:paraId="4E042FBE" w14:textId="77777777" w:rsidR="007E5AD1" w:rsidRPr="005577A5" w:rsidRDefault="00F039DE" w:rsidP="00387CB9">
            <w:pPr>
              <w:pStyle w:val="TableText"/>
              <w:rPr>
                <w:rFonts w:cstheme="minorHAnsi"/>
              </w:rPr>
            </w:pPr>
            <w:r>
              <w:rPr>
                <w:rFonts w:cstheme="minorHAnsi"/>
              </w:rPr>
              <w:t>–</w:t>
            </w:r>
          </w:p>
        </w:tc>
        <w:tc>
          <w:tcPr>
            <w:tcW w:w="304" w:type="pct"/>
            <w:shd w:val="clear" w:color="auto" w:fill="auto"/>
          </w:tcPr>
          <w:p w14:paraId="4E042FBF" w14:textId="77777777" w:rsidR="007E5AD1" w:rsidRPr="005577A5" w:rsidRDefault="00F039DE" w:rsidP="00387CB9">
            <w:pPr>
              <w:pStyle w:val="TableText"/>
              <w:rPr>
                <w:rFonts w:cstheme="minorHAnsi"/>
              </w:rPr>
            </w:pPr>
            <w:r>
              <w:rPr>
                <w:rFonts w:cstheme="minorHAnsi"/>
              </w:rPr>
              <w:t>–</w:t>
            </w:r>
          </w:p>
        </w:tc>
        <w:tc>
          <w:tcPr>
            <w:tcW w:w="303" w:type="pct"/>
            <w:shd w:val="clear" w:color="auto" w:fill="auto"/>
          </w:tcPr>
          <w:p w14:paraId="4E042FC0" w14:textId="77777777" w:rsidR="007E5AD1" w:rsidRPr="005577A5" w:rsidRDefault="00F039DE" w:rsidP="00387CB9">
            <w:pPr>
              <w:pStyle w:val="TableText"/>
              <w:rPr>
                <w:rFonts w:cstheme="minorHAnsi"/>
              </w:rPr>
            </w:pPr>
            <w:r>
              <w:rPr>
                <w:rFonts w:cstheme="minorHAnsi"/>
              </w:rPr>
              <w:t>–</w:t>
            </w:r>
          </w:p>
        </w:tc>
        <w:tc>
          <w:tcPr>
            <w:tcW w:w="507" w:type="pct"/>
            <w:shd w:val="clear" w:color="auto" w:fill="auto"/>
          </w:tcPr>
          <w:p w14:paraId="4E042FC1" w14:textId="77777777" w:rsidR="007E5AD1" w:rsidRPr="005577A5" w:rsidRDefault="00F039DE" w:rsidP="00387CB9">
            <w:pPr>
              <w:pStyle w:val="TableText"/>
              <w:rPr>
                <w:rFonts w:cstheme="minorHAnsi"/>
              </w:rPr>
            </w:pPr>
            <w:r w:rsidRPr="005577A5">
              <w:rPr>
                <w:rFonts w:cstheme="minorHAnsi"/>
              </w:rPr>
              <w:t>48</w:t>
            </w:r>
            <w:r w:rsidR="007F72A8">
              <w:rPr>
                <w:rFonts w:cstheme="minorHAnsi"/>
              </w:rPr>
              <w:t> </w:t>
            </w:r>
            <w:r w:rsidRPr="005577A5">
              <w:rPr>
                <w:rFonts w:cstheme="minorHAnsi"/>
              </w:rPr>
              <w:t>000</w:t>
            </w:r>
            <w:r w:rsidR="00844202">
              <w:rPr>
                <w:rFonts w:cstheme="minorHAnsi"/>
              </w:rPr>
              <w:t xml:space="preserve"> </w:t>
            </w:r>
            <w:r w:rsidR="00B03C38" w:rsidRPr="00822D99">
              <w:rPr>
                <w:rStyle w:val="Strong"/>
                <w:vertAlign w:val="superscript"/>
              </w:rPr>
              <w:t>c</w:t>
            </w:r>
          </w:p>
        </w:tc>
        <w:tc>
          <w:tcPr>
            <w:tcW w:w="545" w:type="pct"/>
            <w:shd w:val="clear" w:color="auto" w:fill="auto"/>
          </w:tcPr>
          <w:p w14:paraId="4E042FC2" w14:textId="77777777" w:rsidR="007E5AD1" w:rsidRPr="005577A5"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2FD0" w14:textId="77777777" w:rsidTr="0031060C">
        <w:trPr>
          <w:cantSplit/>
        </w:trPr>
        <w:tc>
          <w:tcPr>
            <w:tcW w:w="405" w:type="pct"/>
            <w:vMerge w:val="restart"/>
            <w:shd w:val="clear" w:color="auto" w:fill="auto"/>
          </w:tcPr>
          <w:p w14:paraId="4E042FC4" w14:textId="77777777" w:rsidR="00611C8C" w:rsidRPr="005577A5" w:rsidRDefault="00F039DE" w:rsidP="00387CB9">
            <w:pPr>
              <w:pStyle w:val="TableText"/>
              <w:rPr>
                <w:rFonts w:cstheme="minorHAnsi"/>
                <w:highlight w:val="yellow"/>
              </w:rPr>
            </w:pPr>
            <w:r w:rsidRPr="005D54AD">
              <w:rPr>
                <w:rFonts w:cstheme="minorHAnsi"/>
              </w:rPr>
              <w:t>Fish</w:t>
            </w:r>
          </w:p>
        </w:tc>
        <w:tc>
          <w:tcPr>
            <w:tcW w:w="506" w:type="pct"/>
            <w:shd w:val="clear" w:color="auto" w:fill="auto"/>
          </w:tcPr>
          <w:p w14:paraId="4E042FC5" w14:textId="77777777" w:rsidR="00611C8C" w:rsidRPr="005D54AD" w:rsidRDefault="00F039DE" w:rsidP="00387CB9">
            <w:pPr>
              <w:pStyle w:val="TableText"/>
              <w:rPr>
                <w:rFonts w:cstheme="minorHAnsi"/>
                <w:i/>
                <w:highlight w:val="yellow"/>
              </w:rPr>
            </w:pPr>
            <w:r w:rsidRPr="005D54AD">
              <w:rPr>
                <w:rFonts w:cstheme="minorHAnsi"/>
                <w:i/>
              </w:rPr>
              <w:t>Ictalurus punctatus</w:t>
            </w:r>
          </w:p>
        </w:tc>
        <w:tc>
          <w:tcPr>
            <w:tcW w:w="303" w:type="pct"/>
            <w:shd w:val="clear" w:color="auto" w:fill="auto"/>
          </w:tcPr>
          <w:p w14:paraId="4E042FC6" w14:textId="77777777" w:rsidR="00611C8C" w:rsidRPr="005577A5" w:rsidRDefault="00F039DE" w:rsidP="00387CB9">
            <w:pPr>
              <w:pStyle w:val="TableText"/>
              <w:rPr>
                <w:rFonts w:cstheme="minorHAnsi"/>
                <w:highlight w:val="yellow"/>
              </w:rPr>
            </w:pPr>
            <w:r w:rsidRPr="00C25395">
              <w:rPr>
                <w:rFonts w:cstheme="minorHAnsi"/>
              </w:rPr>
              <w:t>Juvenile</w:t>
            </w:r>
          </w:p>
        </w:tc>
        <w:tc>
          <w:tcPr>
            <w:tcW w:w="405" w:type="pct"/>
            <w:shd w:val="clear" w:color="auto" w:fill="auto"/>
          </w:tcPr>
          <w:p w14:paraId="4E042FC7" w14:textId="77777777" w:rsidR="00611C8C" w:rsidRPr="005577A5" w:rsidRDefault="00F039DE" w:rsidP="00387CB9">
            <w:pPr>
              <w:pStyle w:val="TableText"/>
              <w:rPr>
                <w:rFonts w:cstheme="minorHAnsi"/>
                <w:highlight w:val="yellow"/>
              </w:rPr>
            </w:pPr>
            <w:r w:rsidRPr="005D54AD">
              <w:rPr>
                <w:rFonts w:cstheme="minorHAnsi"/>
              </w:rPr>
              <w:t>96</w:t>
            </w:r>
          </w:p>
        </w:tc>
        <w:tc>
          <w:tcPr>
            <w:tcW w:w="304" w:type="pct"/>
            <w:shd w:val="clear" w:color="auto" w:fill="auto"/>
          </w:tcPr>
          <w:p w14:paraId="4E042FC8" w14:textId="77777777" w:rsidR="00611C8C" w:rsidRPr="005577A5" w:rsidRDefault="00F039DE" w:rsidP="00387CB9">
            <w:pPr>
              <w:pStyle w:val="TableText"/>
              <w:rPr>
                <w:rFonts w:cstheme="minorHAnsi"/>
                <w:highlight w:val="yellow"/>
              </w:rPr>
            </w:pPr>
            <w:r w:rsidRPr="005D54AD">
              <w:rPr>
                <w:rFonts w:cstheme="minorHAnsi"/>
              </w:rPr>
              <w:t>Acute</w:t>
            </w:r>
          </w:p>
        </w:tc>
        <w:tc>
          <w:tcPr>
            <w:tcW w:w="607" w:type="pct"/>
            <w:shd w:val="clear" w:color="auto" w:fill="auto"/>
          </w:tcPr>
          <w:p w14:paraId="4E042FC9" w14:textId="77777777" w:rsidR="00611C8C"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2FCA" w14:textId="77777777" w:rsidR="00611C8C" w:rsidRPr="005577A5" w:rsidRDefault="00F039DE" w:rsidP="00387CB9">
            <w:pPr>
              <w:pStyle w:val="TableText"/>
              <w:rPr>
                <w:rFonts w:cstheme="minorHAnsi"/>
              </w:rPr>
            </w:pPr>
            <w:r>
              <w:rPr>
                <w:rFonts w:cstheme="minorHAnsi"/>
              </w:rPr>
              <w:t>–</w:t>
            </w:r>
          </w:p>
        </w:tc>
        <w:tc>
          <w:tcPr>
            <w:tcW w:w="355" w:type="pct"/>
            <w:shd w:val="clear" w:color="auto" w:fill="auto"/>
          </w:tcPr>
          <w:p w14:paraId="4E042FCB" w14:textId="77777777" w:rsidR="00611C8C" w:rsidRPr="005577A5" w:rsidRDefault="00F039DE" w:rsidP="00387CB9">
            <w:pPr>
              <w:pStyle w:val="TableText"/>
              <w:rPr>
                <w:rFonts w:cstheme="minorHAnsi"/>
              </w:rPr>
            </w:pPr>
            <w:r>
              <w:rPr>
                <w:rFonts w:cstheme="minorHAnsi"/>
              </w:rPr>
              <w:t>–</w:t>
            </w:r>
          </w:p>
        </w:tc>
        <w:tc>
          <w:tcPr>
            <w:tcW w:w="304" w:type="pct"/>
            <w:shd w:val="clear" w:color="auto" w:fill="auto"/>
          </w:tcPr>
          <w:p w14:paraId="4E042FCC" w14:textId="77777777" w:rsidR="00611C8C" w:rsidRPr="005577A5" w:rsidRDefault="00F039DE" w:rsidP="00387CB9">
            <w:pPr>
              <w:pStyle w:val="TableText"/>
              <w:rPr>
                <w:rFonts w:cstheme="minorHAnsi"/>
              </w:rPr>
            </w:pPr>
            <w:r>
              <w:rPr>
                <w:rFonts w:cstheme="minorHAnsi"/>
              </w:rPr>
              <w:t>–</w:t>
            </w:r>
          </w:p>
        </w:tc>
        <w:tc>
          <w:tcPr>
            <w:tcW w:w="303" w:type="pct"/>
            <w:shd w:val="clear" w:color="auto" w:fill="auto"/>
          </w:tcPr>
          <w:p w14:paraId="4E042FCD" w14:textId="77777777" w:rsidR="00611C8C" w:rsidRPr="005577A5" w:rsidRDefault="00F039DE" w:rsidP="00387CB9">
            <w:pPr>
              <w:pStyle w:val="TableText"/>
              <w:rPr>
                <w:rFonts w:cstheme="minorHAnsi"/>
              </w:rPr>
            </w:pPr>
            <w:r>
              <w:rPr>
                <w:rFonts w:cstheme="minorHAnsi"/>
              </w:rPr>
              <w:t>–</w:t>
            </w:r>
          </w:p>
        </w:tc>
        <w:tc>
          <w:tcPr>
            <w:tcW w:w="507" w:type="pct"/>
            <w:shd w:val="clear" w:color="auto" w:fill="auto"/>
          </w:tcPr>
          <w:p w14:paraId="4E042FCE" w14:textId="77777777" w:rsidR="00611C8C" w:rsidRPr="005577A5" w:rsidRDefault="00F039DE" w:rsidP="00387CB9">
            <w:pPr>
              <w:pStyle w:val="TableText"/>
              <w:rPr>
                <w:rFonts w:cstheme="minorHAnsi"/>
              </w:rPr>
            </w:pPr>
            <w:r w:rsidRPr="005577A5">
              <w:rPr>
                <w:rFonts w:cstheme="minorHAnsi"/>
              </w:rPr>
              <w:t>1</w:t>
            </w:r>
            <w:r w:rsidR="007F72A8">
              <w:rPr>
                <w:rFonts w:cstheme="minorHAnsi"/>
              </w:rPr>
              <w:t> </w:t>
            </w:r>
            <w:r w:rsidRPr="005577A5">
              <w:rPr>
                <w:rFonts w:cstheme="minorHAnsi"/>
              </w:rPr>
              <w:t>400</w:t>
            </w:r>
            <w:r>
              <w:rPr>
                <w:rFonts w:cstheme="minorHAnsi"/>
              </w:rPr>
              <w:t xml:space="preserve"> </w:t>
            </w:r>
            <w:r w:rsidRPr="00822D99">
              <w:rPr>
                <w:rStyle w:val="Strong"/>
                <w:vertAlign w:val="superscript"/>
              </w:rPr>
              <w:t>c</w:t>
            </w:r>
          </w:p>
        </w:tc>
        <w:tc>
          <w:tcPr>
            <w:tcW w:w="545" w:type="pct"/>
            <w:shd w:val="clear" w:color="auto" w:fill="auto"/>
          </w:tcPr>
          <w:p w14:paraId="4E042FCF" w14:textId="77777777" w:rsidR="00611C8C" w:rsidRPr="005577A5"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2FDD" w14:textId="77777777" w:rsidTr="0031060C">
        <w:trPr>
          <w:cantSplit/>
        </w:trPr>
        <w:tc>
          <w:tcPr>
            <w:tcW w:w="405" w:type="pct"/>
            <w:vMerge/>
            <w:shd w:val="clear" w:color="auto" w:fill="auto"/>
          </w:tcPr>
          <w:p w14:paraId="4E042FD1" w14:textId="77777777" w:rsidR="00487995" w:rsidRPr="005D54AD" w:rsidRDefault="00487995" w:rsidP="00387CB9">
            <w:pPr>
              <w:pStyle w:val="TableText"/>
              <w:rPr>
                <w:rFonts w:cstheme="minorHAnsi"/>
                <w:highlight w:val="yellow"/>
              </w:rPr>
            </w:pPr>
          </w:p>
        </w:tc>
        <w:tc>
          <w:tcPr>
            <w:tcW w:w="506" w:type="pct"/>
            <w:vMerge w:val="restart"/>
            <w:shd w:val="clear" w:color="auto" w:fill="auto"/>
          </w:tcPr>
          <w:p w14:paraId="4E042FD2" w14:textId="77777777" w:rsidR="00487995" w:rsidRPr="00C25395" w:rsidRDefault="00F039DE" w:rsidP="00387CB9">
            <w:pPr>
              <w:pStyle w:val="TableText"/>
              <w:rPr>
                <w:rFonts w:cstheme="minorHAnsi"/>
                <w:i/>
                <w:highlight w:val="yellow"/>
              </w:rPr>
            </w:pPr>
            <w:r w:rsidRPr="00C25395">
              <w:rPr>
                <w:rFonts w:cstheme="minorHAnsi"/>
                <w:i/>
              </w:rPr>
              <w:t>Oncorhynchus clarkii</w:t>
            </w:r>
          </w:p>
        </w:tc>
        <w:tc>
          <w:tcPr>
            <w:tcW w:w="303" w:type="pct"/>
            <w:shd w:val="clear" w:color="auto" w:fill="auto"/>
          </w:tcPr>
          <w:p w14:paraId="4E042FD3" w14:textId="77777777" w:rsidR="00487995" w:rsidRPr="005D54AD" w:rsidRDefault="00F039DE" w:rsidP="00387CB9">
            <w:pPr>
              <w:pStyle w:val="TableText"/>
              <w:rPr>
                <w:rFonts w:cstheme="minorHAnsi"/>
                <w:highlight w:val="yellow"/>
              </w:rPr>
            </w:pPr>
            <w:r w:rsidRPr="00C25395">
              <w:rPr>
                <w:rFonts w:cstheme="minorHAnsi"/>
              </w:rPr>
              <w:t>Juveni</w:t>
            </w:r>
            <w:r w:rsidRPr="005D54AD">
              <w:rPr>
                <w:rFonts w:cstheme="minorHAnsi"/>
              </w:rPr>
              <w:t>le</w:t>
            </w:r>
          </w:p>
        </w:tc>
        <w:tc>
          <w:tcPr>
            <w:tcW w:w="405" w:type="pct"/>
            <w:shd w:val="clear" w:color="auto" w:fill="auto"/>
          </w:tcPr>
          <w:p w14:paraId="4E042FD4" w14:textId="77777777" w:rsidR="00487995" w:rsidRPr="005D54AD" w:rsidRDefault="00F039DE" w:rsidP="00387CB9">
            <w:pPr>
              <w:pStyle w:val="TableText"/>
              <w:rPr>
                <w:rFonts w:cstheme="minorHAnsi"/>
                <w:highlight w:val="yellow"/>
              </w:rPr>
            </w:pPr>
            <w:r w:rsidRPr="005D54AD">
              <w:rPr>
                <w:rFonts w:cstheme="minorHAnsi"/>
              </w:rPr>
              <w:t>96</w:t>
            </w:r>
          </w:p>
        </w:tc>
        <w:tc>
          <w:tcPr>
            <w:tcW w:w="304" w:type="pct"/>
            <w:shd w:val="clear" w:color="auto" w:fill="auto"/>
          </w:tcPr>
          <w:p w14:paraId="4E042FD5" w14:textId="77777777" w:rsidR="00487995" w:rsidRPr="005D54AD" w:rsidRDefault="00F039DE" w:rsidP="00387CB9">
            <w:pPr>
              <w:pStyle w:val="TableText"/>
              <w:rPr>
                <w:rFonts w:cstheme="minorHAnsi"/>
                <w:highlight w:val="yellow"/>
              </w:rPr>
            </w:pPr>
            <w:r w:rsidRPr="005D54AD">
              <w:rPr>
                <w:rFonts w:cstheme="minorHAnsi"/>
              </w:rPr>
              <w:t>Acute</w:t>
            </w:r>
          </w:p>
        </w:tc>
        <w:tc>
          <w:tcPr>
            <w:tcW w:w="607" w:type="pct"/>
            <w:shd w:val="clear" w:color="auto" w:fill="auto"/>
          </w:tcPr>
          <w:p w14:paraId="4E042FD6" w14:textId="77777777" w:rsidR="00487995"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2FD7" w14:textId="77777777" w:rsidR="00487995" w:rsidRPr="005577A5" w:rsidRDefault="00F039DE" w:rsidP="00387CB9">
            <w:pPr>
              <w:pStyle w:val="TableText"/>
              <w:rPr>
                <w:rFonts w:cstheme="minorHAnsi"/>
              </w:rPr>
            </w:pPr>
            <w:r>
              <w:rPr>
                <w:rFonts w:cstheme="minorHAnsi"/>
              </w:rPr>
              <w:t>–</w:t>
            </w:r>
          </w:p>
        </w:tc>
        <w:tc>
          <w:tcPr>
            <w:tcW w:w="355" w:type="pct"/>
            <w:shd w:val="clear" w:color="auto" w:fill="auto"/>
          </w:tcPr>
          <w:p w14:paraId="4E042FD8" w14:textId="77777777" w:rsidR="00487995" w:rsidRPr="005577A5" w:rsidRDefault="00F039DE" w:rsidP="00387CB9">
            <w:pPr>
              <w:pStyle w:val="TableText"/>
              <w:rPr>
                <w:rFonts w:cstheme="minorHAnsi"/>
              </w:rPr>
            </w:pPr>
            <w:r>
              <w:rPr>
                <w:rFonts w:cstheme="minorHAnsi"/>
              </w:rPr>
              <w:t>–</w:t>
            </w:r>
          </w:p>
        </w:tc>
        <w:tc>
          <w:tcPr>
            <w:tcW w:w="304" w:type="pct"/>
            <w:shd w:val="clear" w:color="auto" w:fill="auto"/>
          </w:tcPr>
          <w:p w14:paraId="4E042FD9" w14:textId="77777777" w:rsidR="00487995" w:rsidRPr="005577A5" w:rsidRDefault="00F039DE" w:rsidP="00387CB9">
            <w:pPr>
              <w:pStyle w:val="TableText"/>
              <w:rPr>
                <w:rFonts w:cstheme="minorHAnsi"/>
              </w:rPr>
            </w:pPr>
            <w:r>
              <w:rPr>
                <w:rFonts w:cstheme="minorHAnsi"/>
              </w:rPr>
              <w:t>–</w:t>
            </w:r>
          </w:p>
        </w:tc>
        <w:tc>
          <w:tcPr>
            <w:tcW w:w="303" w:type="pct"/>
            <w:shd w:val="clear" w:color="auto" w:fill="auto"/>
          </w:tcPr>
          <w:p w14:paraId="4E042FDA" w14:textId="77777777" w:rsidR="00487995" w:rsidRPr="005577A5" w:rsidRDefault="00F039DE" w:rsidP="00387CB9">
            <w:pPr>
              <w:pStyle w:val="TableText"/>
              <w:rPr>
                <w:rFonts w:cstheme="minorHAnsi"/>
              </w:rPr>
            </w:pPr>
            <w:r>
              <w:rPr>
                <w:rFonts w:cstheme="minorHAnsi"/>
              </w:rPr>
              <w:t>–</w:t>
            </w:r>
          </w:p>
        </w:tc>
        <w:tc>
          <w:tcPr>
            <w:tcW w:w="507" w:type="pct"/>
            <w:shd w:val="clear" w:color="auto" w:fill="auto"/>
          </w:tcPr>
          <w:p w14:paraId="4E042FDB" w14:textId="77777777" w:rsidR="00487995" w:rsidRPr="00AB559F" w:rsidRDefault="00F039DE" w:rsidP="00387CB9">
            <w:pPr>
              <w:pStyle w:val="TableText"/>
              <w:rPr>
                <w:rFonts w:cstheme="minorHAnsi"/>
              </w:rPr>
            </w:pPr>
            <w:r w:rsidRPr="00AB559F">
              <w:rPr>
                <w:rFonts w:cstheme="minorHAnsi"/>
              </w:rPr>
              <w:t>1</w:t>
            </w:r>
            <w:r w:rsidR="007F72A8">
              <w:rPr>
                <w:rFonts w:cstheme="minorHAnsi"/>
              </w:rPr>
              <w:t> </w:t>
            </w:r>
            <w:r w:rsidRPr="00AB559F">
              <w:rPr>
                <w:rFonts w:cstheme="minorHAnsi"/>
              </w:rPr>
              <w:t>500</w:t>
            </w:r>
          </w:p>
        </w:tc>
        <w:tc>
          <w:tcPr>
            <w:tcW w:w="545" w:type="pct"/>
            <w:shd w:val="clear" w:color="auto" w:fill="auto"/>
          </w:tcPr>
          <w:p w14:paraId="4E042FDC" w14:textId="77777777" w:rsidR="00487995" w:rsidRPr="005577A5"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2FEA" w14:textId="77777777" w:rsidTr="0031060C">
        <w:trPr>
          <w:cantSplit/>
        </w:trPr>
        <w:tc>
          <w:tcPr>
            <w:tcW w:w="405" w:type="pct"/>
            <w:vMerge/>
            <w:shd w:val="clear" w:color="auto" w:fill="auto"/>
          </w:tcPr>
          <w:p w14:paraId="4E042FDE" w14:textId="77777777" w:rsidR="00487995" w:rsidRPr="005D54AD" w:rsidRDefault="00487995" w:rsidP="00387CB9">
            <w:pPr>
              <w:pStyle w:val="TableText"/>
              <w:rPr>
                <w:rFonts w:cstheme="minorHAnsi"/>
                <w:highlight w:val="yellow"/>
              </w:rPr>
            </w:pPr>
          </w:p>
        </w:tc>
        <w:tc>
          <w:tcPr>
            <w:tcW w:w="506" w:type="pct"/>
            <w:vMerge/>
            <w:tcBorders>
              <w:bottom w:val="nil"/>
            </w:tcBorders>
            <w:shd w:val="clear" w:color="auto" w:fill="auto"/>
          </w:tcPr>
          <w:p w14:paraId="4E042FDF" w14:textId="77777777" w:rsidR="00487995" w:rsidRPr="00C25395" w:rsidRDefault="00487995" w:rsidP="00387CB9">
            <w:pPr>
              <w:pStyle w:val="TableText"/>
              <w:rPr>
                <w:rFonts w:cstheme="minorHAnsi"/>
                <w:i/>
              </w:rPr>
            </w:pPr>
          </w:p>
        </w:tc>
        <w:tc>
          <w:tcPr>
            <w:tcW w:w="303" w:type="pct"/>
            <w:tcBorders>
              <w:bottom w:val="nil"/>
            </w:tcBorders>
            <w:shd w:val="clear" w:color="auto" w:fill="auto"/>
          </w:tcPr>
          <w:p w14:paraId="4E042FE0" w14:textId="77777777" w:rsidR="00487995" w:rsidRPr="005D54AD" w:rsidRDefault="00F039DE" w:rsidP="00387CB9">
            <w:pPr>
              <w:pStyle w:val="TableText"/>
              <w:rPr>
                <w:rFonts w:cstheme="minorHAnsi"/>
              </w:rPr>
            </w:pPr>
            <w:r w:rsidRPr="00C25395">
              <w:rPr>
                <w:rFonts w:cstheme="minorHAnsi"/>
              </w:rPr>
              <w:t>Juvenile</w:t>
            </w:r>
          </w:p>
        </w:tc>
        <w:tc>
          <w:tcPr>
            <w:tcW w:w="405" w:type="pct"/>
            <w:tcBorders>
              <w:bottom w:val="nil"/>
            </w:tcBorders>
            <w:shd w:val="clear" w:color="auto" w:fill="auto"/>
          </w:tcPr>
          <w:p w14:paraId="4E042FE1" w14:textId="77777777" w:rsidR="00487995" w:rsidRPr="005D54AD" w:rsidRDefault="00F039DE" w:rsidP="00387CB9">
            <w:pPr>
              <w:pStyle w:val="TableText"/>
              <w:rPr>
                <w:rFonts w:cstheme="minorHAnsi"/>
              </w:rPr>
            </w:pPr>
            <w:r w:rsidRPr="005D54AD">
              <w:rPr>
                <w:rFonts w:cstheme="minorHAnsi"/>
              </w:rPr>
              <w:t>96</w:t>
            </w:r>
          </w:p>
        </w:tc>
        <w:tc>
          <w:tcPr>
            <w:tcW w:w="304" w:type="pct"/>
            <w:tcBorders>
              <w:bottom w:val="nil"/>
            </w:tcBorders>
            <w:shd w:val="clear" w:color="auto" w:fill="auto"/>
          </w:tcPr>
          <w:p w14:paraId="4E042FE2" w14:textId="77777777" w:rsidR="00487995" w:rsidRPr="005D54AD" w:rsidRDefault="00F039DE" w:rsidP="00387CB9">
            <w:pPr>
              <w:pStyle w:val="TableText"/>
              <w:rPr>
                <w:rFonts w:cstheme="minorHAnsi"/>
              </w:rPr>
            </w:pPr>
            <w:r w:rsidRPr="005D54AD">
              <w:rPr>
                <w:rFonts w:cstheme="minorHAnsi"/>
              </w:rPr>
              <w:t>Acute</w:t>
            </w:r>
          </w:p>
        </w:tc>
        <w:tc>
          <w:tcPr>
            <w:tcW w:w="607" w:type="pct"/>
            <w:tcBorders>
              <w:bottom w:val="nil"/>
            </w:tcBorders>
            <w:shd w:val="clear" w:color="auto" w:fill="auto"/>
          </w:tcPr>
          <w:p w14:paraId="4E042FE3" w14:textId="77777777" w:rsidR="00487995" w:rsidRPr="005577A5" w:rsidRDefault="00F039DE" w:rsidP="00387CB9">
            <w:pPr>
              <w:pStyle w:val="TableText"/>
              <w:rPr>
                <w:rFonts w:cstheme="minorHAnsi"/>
                <w:highlight w:val="yellow"/>
              </w:rPr>
            </w:pPr>
            <w:r w:rsidRPr="005577A5">
              <w:rPr>
                <w:rFonts w:cstheme="minorHAnsi"/>
              </w:rPr>
              <w:t>LC50 (Survival)</w:t>
            </w:r>
          </w:p>
        </w:tc>
        <w:tc>
          <w:tcPr>
            <w:tcW w:w="456" w:type="pct"/>
            <w:tcBorders>
              <w:bottom w:val="nil"/>
            </w:tcBorders>
            <w:shd w:val="clear" w:color="auto" w:fill="auto"/>
          </w:tcPr>
          <w:p w14:paraId="4E042FE4" w14:textId="77777777" w:rsidR="00487995" w:rsidRPr="005577A5" w:rsidRDefault="00F039DE" w:rsidP="00387CB9">
            <w:pPr>
              <w:pStyle w:val="TableText"/>
              <w:rPr>
                <w:rFonts w:cstheme="minorHAnsi"/>
              </w:rPr>
            </w:pPr>
            <w:r>
              <w:rPr>
                <w:rFonts w:cstheme="minorHAnsi"/>
              </w:rPr>
              <w:t>–</w:t>
            </w:r>
          </w:p>
        </w:tc>
        <w:tc>
          <w:tcPr>
            <w:tcW w:w="355" w:type="pct"/>
            <w:tcBorders>
              <w:bottom w:val="nil"/>
            </w:tcBorders>
            <w:shd w:val="clear" w:color="auto" w:fill="auto"/>
          </w:tcPr>
          <w:p w14:paraId="4E042FE5" w14:textId="77777777" w:rsidR="00487995" w:rsidRPr="005577A5" w:rsidRDefault="00F039DE" w:rsidP="00387CB9">
            <w:pPr>
              <w:pStyle w:val="TableText"/>
              <w:rPr>
                <w:rFonts w:cstheme="minorHAnsi"/>
              </w:rPr>
            </w:pPr>
            <w:r>
              <w:rPr>
                <w:rFonts w:cstheme="minorHAnsi"/>
              </w:rPr>
              <w:t>–</w:t>
            </w:r>
          </w:p>
        </w:tc>
        <w:tc>
          <w:tcPr>
            <w:tcW w:w="304" w:type="pct"/>
            <w:tcBorders>
              <w:bottom w:val="nil"/>
            </w:tcBorders>
            <w:shd w:val="clear" w:color="auto" w:fill="auto"/>
          </w:tcPr>
          <w:p w14:paraId="4E042FE6" w14:textId="77777777" w:rsidR="00487995" w:rsidRPr="005577A5" w:rsidRDefault="00F039DE" w:rsidP="00387CB9">
            <w:pPr>
              <w:pStyle w:val="TableText"/>
              <w:rPr>
                <w:rFonts w:cstheme="minorHAnsi"/>
              </w:rPr>
            </w:pPr>
            <w:r>
              <w:rPr>
                <w:rFonts w:cstheme="minorHAnsi"/>
              </w:rPr>
              <w:t>–</w:t>
            </w:r>
          </w:p>
        </w:tc>
        <w:tc>
          <w:tcPr>
            <w:tcW w:w="303" w:type="pct"/>
            <w:tcBorders>
              <w:bottom w:val="nil"/>
            </w:tcBorders>
            <w:shd w:val="clear" w:color="auto" w:fill="auto"/>
          </w:tcPr>
          <w:p w14:paraId="4E042FE7" w14:textId="77777777" w:rsidR="00487995" w:rsidRPr="005577A5" w:rsidRDefault="00F039DE" w:rsidP="00387CB9">
            <w:pPr>
              <w:pStyle w:val="TableText"/>
              <w:rPr>
                <w:rFonts w:cstheme="minorHAnsi"/>
              </w:rPr>
            </w:pPr>
            <w:r>
              <w:rPr>
                <w:rFonts w:cstheme="minorHAnsi"/>
              </w:rPr>
              <w:t>–</w:t>
            </w:r>
          </w:p>
        </w:tc>
        <w:tc>
          <w:tcPr>
            <w:tcW w:w="507" w:type="pct"/>
            <w:shd w:val="clear" w:color="auto" w:fill="auto"/>
          </w:tcPr>
          <w:p w14:paraId="4E042FE8" w14:textId="77777777" w:rsidR="00487995" w:rsidRPr="00AB559F" w:rsidRDefault="00F039DE" w:rsidP="00387CB9">
            <w:pPr>
              <w:pStyle w:val="TableText"/>
              <w:rPr>
                <w:rFonts w:cstheme="minorHAnsi"/>
              </w:rPr>
            </w:pPr>
            <w:r w:rsidRPr="00AB559F">
              <w:rPr>
                <w:rFonts w:cstheme="minorHAnsi"/>
              </w:rPr>
              <w:t>3</w:t>
            </w:r>
            <w:r w:rsidR="007F72A8">
              <w:rPr>
                <w:rFonts w:cstheme="minorHAnsi"/>
              </w:rPr>
              <w:t> </w:t>
            </w:r>
            <w:r w:rsidRPr="00AB559F">
              <w:rPr>
                <w:rFonts w:cstheme="minorHAnsi"/>
              </w:rPr>
              <w:t>500</w:t>
            </w:r>
          </w:p>
        </w:tc>
        <w:tc>
          <w:tcPr>
            <w:tcW w:w="545" w:type="pct"/>
            <w:shd w:val="clear" w:color="auto" w:fill="auto"/>
          </w:tcPr>
          <w:p w14:paraId="4E042FE9" w14:textId="77777777" w:rsidR="00487995" w:rsidRPr="005577A5"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2FEF" w14:textId="77777777" w:rsidTr="0031060C">
        <w:trPr>
          <w:cantSplit/>
          <w:trHeight w:val="242"/>
        </w:trPr>
        <w:tc>
          <w:tcPr>
            <w:tcW w:w="405" w:type="pct"/>
            <w:vMerge/>
            <w:shd w:val="clear" w:color="auto" w:fill="auto"/>
          </w:tcPr>
          <w:p w14:paraId="4E042FEB" w14:textId="77777777" w:rsidR="00487995" w:rsidRPr="005D54AD" w:rsidRDefault="00487995" w:rsidP="00387CB9">
            <w:pPr>
              <w:pStyle w:val="TableText"/>
              <w:rPr>
                <w:rFonts w:cstheme="minorHAnsi"/>
                <w:highlight w:val="yellow"/>
              </w:rPr>
            </w:pPr>
          </w:p>
        </w:tc>
        <w:tc>
          <w:tcPr>
            <w:tcW w:w="3543" w:type="pct"/>
            <w:gridSpan w:val="9"/>
            <w:tcBorders>
              <w:top w:val="nil"/>
            </w:tcBorders>
            <w:shd w:val="clear" w:color="auto" w:fill="auto"/>
          </w:tcPr>
          <w:p w14:paraId="4E042FEC" w14:textId="77777777" w:rsidR="00487995" w:rsidRPr="005577A5" w:rsidRDefault="00F039DE" w:rsidP="00387CB9">
            <w:pPr>
              <w:pStyle w:val="TableText"/>
              <w:rPr>
                <w:rFonts w:cstheme="minorHAnsi"/>
              </w:rPr>
            </w:pPr>
            <w:r>
              <w:rPr>
                <w:rFonts w:cstheme="minorHAnsi"/>
              </w:rPr>
              <w:t>–</w:t>
            </w:r>
          </w:p>
        </w:tc>
        <w:tc>
          <w:tcPr>
            <w:tcW w:w="507" w:type="pct"/>
            <w:shd w:val="clear" w:color="auto" w:fill="auto"/>
          </w:tcPr>
          <w:p w14:paraId="4E042FED" w14:textId="77777777" w:rsidR="00487995" w:rsidRPr="00B03C38" w:rsidRDefault="00F039DE" w:rsidP="00387CB9">
            <w:pPr>
              <w:pStyle w:val="TableText"/>
              <w:rPr>
                <w:rFonts w:cstheme="minorHAnsi"/>
              </w:rPr>
            </w:pPr>
            <w:r w:rsidRPr="00B03C38">
              <w:rPr>
                <w:rFonts w:cstheme="minorHAnsi"/>
              </w:rPr>
              <w:t>2</w:t>
            </w:r>
            <w:r w:rsidR="007F72A8">
              <w:rPr>
                <w:rFonts w:cstheme="minorHAnsi"/>
              </w:rPr>
              <w:t> </w:t>
            </w:r>
            <w:r w:rsidRPr="00B03C38">
              <w:rPr>
                <w:rFonts w:cstheme="minorHAnsi"/>
              </w:rPr>
              <w:t xml:space="preserve">290 </w:t>
            </w:r>
            <w:r w:rsidRPr="00822D99">
              <w:rPr>
                <w:rStyle w:val="Strong"/>
                <w:vertAlign w:val="superscript"/>
              </w:rPr>
              <w:t>c</w:t>
            </w:r>
          </w:p>
        </w:tc>
        <w:tc>
          <w:tcPr>
            <w:tcW w:w="545" w:type="pct"/>
            <w:shd w:val="clear" w:color="auto" w:fill="auto"/>
          </w:tcPr>
          <w:p w14:paraId="4E042FEE" w14:textId="77777777" w:rsidR="00487995" w:rsidRPr="00183F4A" w:rsidRDefault="00F039DE" w:rsidP="00387CB9">
            <w:pPr>
              <w:pStyle w:val="TableText"/>
              <w:rPr>
                <w:rFonts w:cstheme="minorHAnsi"/>
                <w:b/>
                <w:bCs/>
              </w:rPr>
            </w:pPr>
            <w:r w:rsidRPr="00183F4A">
              <w:rPr>
                <w:rFonts w:cstheme="minorHAnsi"/>
                <w:b/>
                <w:bCs/>
              </w:rPr>
              <w:t>Geometric mean</w:t>
            </w:r>
          </w:p>
        </w:tc>
      </w:tr>
      <w:tr w:rsidR="00690C51" w14:paraId="4E042FFC" w14:textId="77777777" w:rsidTr="0031060C">
        <w:trPr>
          <w:cantSplit/>
        </w:trPr>
        <w:tc>
          <w:tcPr>
            <w:tcW w:w="405" w:type="pct"/>
            <w:vMerge/>
            <w:shd w:val="clear" w:color="auto" w:fill="auto"/>
          </w:tcPr>
          <w:p w14:paraId="4E042FF0" w14:textId="77777777" w:rsidR="008F1754" w:rsidRPr="005D54AD" w:rsidRDefault="008F1754" w:rsidP="00387CB9">
            <w:pPr>
              <w:pStyle w:val="TableText"/>
              <w:rPr>
                <w:rFonts w:cstheme="minorHAnsi"/>
                <w:highlight w:val="yellow"/>
              </w:rPr>
            </w:pPr>
          </w:p>
        </w:tc>
        <w:tc>
          <w:tcPr>
            <w:tcW w:w="506" w:type="pct"/>
            <w:vMerge w:val="restart"/>
            <w:shd w:val="clear" w:color="auto" w:fill="auto"/>
          </w:tcPr>
          <w:p w14:paraId="4E042FF1" w14:textId="77777777" w:rsidR="008F1754" w:rsidRPr="00C25395" w:rsidRDefault="00F039DE" w:rsidP="00387CB9">
            <w:pPr>
              <w:pStyle w:val="TableText"/>
              <w:rPr>
                <w:rFonts w:cstheme="minorHAnsi"/>
                <w:i/>
                <w:highlight w:val="yellow"/>
              </w:rPr>
            </w:pPr>
            <w:r w:rsidRPr="00C25395">
              <w:rPr>
                <w:rFonts w:cstheme="minorHAnsi"/>
                <w:i/>
              </w:rPr>
              <w:t>Salvelinus namaycush</w:t>
            </w:r>
          </w:p>
        </w:tc>
        <w:tc>
          <w:tcPr>
            <w:tcW w:w="303" w:type="pct"/>
            <w:shd w:val="clear" w:color="auto" w:fill="auto"/>
          </w:tcPr>
          <w:p w14:paraId="4E042FF2" w14:textId="77777777" w:rsidR="008F1754" w:rsidRPr="005D54AD" w:rsidRDefault="00F039DE" w:rsidP="00387CB9">
            <w:pPr>
              <w:pStyle w:val="TableText"/>
              <w:rPr>
                <w:rFonts w:cstheme="minorHAnsi"/>
                <w:highlight w:val="yellow"/>
              </w:rPr>
            </w:pPr>
            <w:r w:rsidRPr="00C25395">
              <w:rPr>
                <w:rFonts w:cstheme="minorHAnsi"/>
              </w:rPr>
              <w:t>Juvenile</w:t>
            </w:r>
          </w:p>
        </w:tc>
        <w:tc>
          <w:tcPr>
            <w:tcW w:w="405" w:type="pct"/>
            <w:shd w:val="clear" w:color="auto" w:fill="auto"/>
          </w:tcPr>
          <w:p w14:paraId="4E042FF3" w14:textId="77777777" w:rsidR="008F1754" w:rsidRPr="005D54AD" w:rsidRDefault="00F039DE" w:rsidP="00387CB9">
            <w:pPr>
              <w:pStyle w:val="TableText"/>
              <w:rPr>
                <w:rFonts w:cstheme="minorHAnsi"/>
                <w:highlight w:val="yellow"/>
              </w:rPr>
            </w:pPr>
            <w:r w:rsidRPr="005D54AD">
              <w:rPr>
                <w:rFonts w:cstheme="minorHAnsi"/>
              </w:rPr>
              <w:t>96</w:t>
            </w:r>
          </w:p>
        </w:tc>
        <w:tc>
          <w:tcPr>
            <w:tcW w:w="304" w:type="pct"/>
            <w:shd w:val="clear" w:color="auto" w:fill="auto"/>
          </w:tcPr>
          <w:p w14:paraId="4E042FF4" w14:textId="77777777" w:rsidR="008F1754" w:rsidRPr="005D54AD" w:rsidRDefault="00F039DE" w:rsidP="00387CB9">
            <w:pPr>
              <w:pStyle w:val="TableText"/>
              <w:rPr>
                <w:rFonts w:cstheme="minorHAnsi"/>
                <w:highlight w:val="yellow"/>
              </w:rPr>
            </w:pPr>
            <w:r w:rsidRPr="005D54AD">
              <w:rPr>
                <w:rFonts w:cstheme="minorHAnsi"/>
              </w:rPr>
              <w:t>Acute</w:t>
            </w:r>
          </w:p>
        </w:tc>
        <w:tc>
          <w:tcPr>
            <w:tcW w:w="607" w:type="pct"/>
            <w:shd w:val="clear" w:color="auto" w:fill="auto"/>
          </w:tcPr>
          <w:p w14:paraId="4E042FF5" w14:textId="77777777" w:rsidR="008F1754"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2FF6" w14:textId="77777777" w:rsidR="008F1754" w:rsidRPr="005577A5" w:rsidRDefault="00F039DE" w:rsidP="00387CB9">
            <w:pPr>
              <w:pStyle w:val="TableText"/>
              <w:rPr>
                <w:rFonts w:cstheme="minorHAnsi"/>
                <w:highlight w:val="yellow"/>
              </w:rPr>
            </w:pPr>
            <w:r>
              <w:rPr>
                <w:rFonts w:cstheme="minorHAnsi"/>
              </w:rPr>
              <w:t>–</w:t>
            </w:r>
          </w:p>
        </w:tc>
        <w:tc>
          <w:tcPr>
            <w:tcW w:w="355" w:type="pct"/>
            <w:shd w:val="clear" w:color="auto" w:fill="auto"/>
          </w:tcPr>
          <w:p w14:paraId="4E042FF7" w14:textId="77777777" w:rsidR="008F1754" w:rsidRPr="005577A5" w:rsidRDefault="00F039DE" w:rsidP="00387CB9">
            <w:pPr>
              <w:pStyle w:val="TableText"/>
              <w:rPr>
                <w:rFonts w:cstheme="minorHAnsi"/>
                <w:highlight w:val="yellow"/>
              </w:rPr>
            </w:pPr>
            <w:r>
              <w:rPr>
                <w:rFonts w:cstheme="minorHAnsi"/>
              </w:rPr>
              <w:t>–</w:t>
            </w:r>
          </w:p>
        </w:tc>
        <w:tc>
          <w:tcPr>
            <w:tcW w:w="304" w:type="pct"/>
            <w:shd w:val="clear" w:color="auto" w:fill="auto"/>
          </w:tcPr>
          <w:p w14:paraId="4E042FF8" w14:textId="77777777" w:rsidR="008F1754" w:rsidRPr="005577A5" w:rsidRDefault="00F039DE" w:rsidP="00387CB9">
            <w:pPr>
              <w:pStyle w:val="TableText"/>
              <w:rPr>
                <w:rFonts w:cstheme="minorHAnsi"/>
                <w:highlight w:val="yellow"/>
              </w:rPr>
            </w:pPr>
            <w:r>
              <w:rPr>
                <w:rFonts w:cstheme="minorHAnsi"/>
              </w:rPr>
              <w:t>–</w:t>
            </w:r>
          </w:p>
        </w:tc>
        <w:tc>
          <w:tcPr>
            <w:tcW w:w="303" w:type="pct"/>
            <w:shd w:val="clear" w:color="auto" w:fill="auto"/>
          </w:tcPr>
          <w:p w14:paraId="4E042FF9" w14:textId="77777777" w:rsidR="008F1754" w:rsidRPr="005577A5" w:rsidRDefault="00F039DE" w:rsidP="00387CB9">
            <w:pPr>
              <w:pStyle w:val="TableText"/>
              <w:rPr>
                <w:rFonts w:cstheme="minorHAnsi"/>
                <w:highlight w:val="yellow"/>
              </w:rPr>
            </w:pPr>
            <w:r>
              <w:rPr>
                <w:rFonts w:cstheme="minorHAnsi"/>
              </w:rPr>
              <w:t>–</w:t>
            </w:r>
          </w:p>
        </w:tc>
        <w:tc>
          <w:tcPr>
            <w:tcW w:w="507" w:type="pct"/>
            <w:shd w:val="clear" w:color="auto" w:fill="auto"/>
          </w:tcPr>
          <w:p w14:paraId="4E042FFA" w14:textId="77777777" w:rsidR="008F1754" w:rsidRPr="005577A5" w:rsidRDefault="00F039DE" w:rsidP="00387CB9">
            <w:pPr>
              <w:pStyle w:val="TableText"/>
              <w:rPr>
                <w:rFonts w:cstheme="minorHAnsi"/>
              </w:rPr>
            </w:pPr>
            <w:r w:rsidRPr="005577A5">
              <w:rPr>
                <w:rFonts w:cstheme="minorHAnsi"/>
              </w:rPr>
              <w:t>1</w:t>
            </w:r>
            <w:r w:rsidR="007F72A8">
              <w:rPr>
                <w:rFonts w:cstheme="minorHAnsi"/>
              </w:rPr>
              <w:t> </w:t>
            </w:r>
            <w:r w:rsidRPr="005577A5">
              <w:rPr>
                <w:rFonts w:cstheme="minorHAnsi"/>
              </w:rPr>
              <w:t>900</w:t>
            </w:r>
          </w:p>
        </w:tc>
        <w:tc>
          <w:tcPr>
            <w:tcW w:w="545" w:type="pct"/>
            <w:shd w:val="clear" w:color="auto" w:fill="auto"/>
          </w:tcPr>
          <w:p w14:paraId="4E042FFB" w14:textId="77777777" w:rsidR="008F1754" w:rsidRPr="005577A5" w:rsidRDefault="00F039DE" w:rsidP="00387CB9">
            <w:pPr>
              <w:pStyle w:val="TableText"/>
              <w:rPr>
                <w:rFonts w:cstheme="minorHAnsi"/>
                <w:highlight w:val="yellow"/>
              </w:rPr>
            </w:pPr>
            <w:r>
              <w:rPr>
                <w:rFonts w:cstheme="minorHAnsi"/>
              </w:rPr>
              <w:t xml:space="preserve">USEPA </w:t>
            </w:r>
            <w:r w:rsidRPr="005577A5">
              <w:rPr>
                <w:rFonts w:cstheme="minorHAnsi"/>
              </w:rPr>
              <w:t>OPP 2019</w:t>
            </w:r>
          </w:p>
        </w:tc>
      </w:tr>
      <w:tr w:rsidR="00690C51" w14:paraId="4E043009" w14:textId="77777777" w:rsidTr="0031060C">
        <w:trPr>
          <w:cantSplit/>
        </w:trPr>
        <w:tc>
          <w:tcPr>
            <w:tcW w:w="405" w:type="pct"/>
            <w:vMerge/>
            <w:shd w:val="clear" w:color="auto" w:fill="auto"/>
          </w:tcPr>
          <w:p w14:paraId="4E042FFD" w14:textId="77777777" w:rsidR="008F1754" w:rsidRPr="005D54AD" w:rsidRDefault="008F1754" w:rsidP="00387CB9">
            <w:pPr>
              <w:pStyle w:val="TableText"/>
              <w:rPr>
                <w:rFonts w:cstheme="minorHAnsi"/>
                <w:highlight w:val="yellow"/>
              </w:rPr>
            </w:pPr>
          </w:p>
        </w:tc>
        <w:tc>
          <w:tcPr>
            <w:tcW w:w="506" w:type="pct"/>
            <w:vMerge/>
            <w:shd w:val="clear" w:color="auto" w:fill="auto"/>
          </w:tcPr>
          <w:p w14:paraId="4E042FFE" w14:textId="77777777" w:rsidR="008F1754" w:rsidRPr="00C25395" w:rsidRDefault="008F1754" w:rsidP="00387CB9">
            <w:pPr>
              <w:pStyle w:val="TableText"/>
              <w:rPr>
                <w:rFonts w:cstheme="minorHAnsi"/>
                <w:i/>
              </w:rPr>
            </w:pPr>
          </w:p>
        </w:tc>
        <w:tc>
          <w:tcPr>
            <w:tcW w:w="303" w:type="pct"/>
            <w:shd w:val="clear" w:color="auto" w:fill="auto"/>
          </w:tcPr>
          <w:p w14:paraId="4E042FFF" w14:textId="77777777" w:rsidR="008F1754" w:rsidRPr="005D54AD" w:rsidRDefault="00F039DE" w:rsidP="00387CB9">
            <w:pPr>
              <w:pStyle w:val="TableText"/>
              <w:rPr>
                <w:rFonts w:cstheme="minorHAnsi"/>
              </w:rPr>
            </w:pPr>
            <w:r w:rsidRPr="005D54AD">
              <w:rPr>
                <w:rFonts w:cstheme="minorHAnsi"/>
              </w:rPr>
              <w:t>Juvenile</w:t>
            </w:r>
          </w:p>
        </w:tc>
        <w:tc>
          <w:tcPr>
            <w:tcW w:w="405" w:type="pct"/>
            <w:shd w:val="clear" w:color="auto" w:fill="auto"/>
          </w:tcPr>
          <w:p w14:paraId="4E043000" w14:textId="77777777" w:rsidR="008F1754" w:rsidRPr="005D54AD" w:rsidRDefault="00F039DE" w:rsidP="00387CB9">
            <w:pPr>
              <w:pStyle w:val="TableText"/>
              <w:rPr>
                <w:rFonts w:cstheme="minorHAnsi"/>
              </w:rPr>
            </w:pPr>
            <w:r w:rsidRPr="005D54AD">
              <w:rPr>
                <w:rFonts w:cstheme="minorHAnsi"/>
              </w:rPr>
              <w:t>96</w:t>
            </w:r>
          </w:p>
        </w:tc>
        <w:tc>
          <w:tcPr>
            <w:tcW w:w="304" w:type="pct"/>
            <w:shd w:val="clear" w:color="auto" w:fill="auto"/>
          </w:tcPr>
          <w:p w14:paraId="4E043001" w14:textId="77777777" w:rsidR="008F1754" w:rsidRPr="005D54AD" w:rsidRDefault="00F039DE" w:rsidP="00387CB9">
            <w:pPr>
              <w:pStyle w:val="TableText"/>
              <w:rPr>
                <w:rFonts w:cstheme="minorHAnsi"/>
              </w:rPr>
            </w:pPr>
            <w:r w:rsidRPr="005D54AD">
              <w:rPr>
                <w:rFonts w:cstheme="minorHAnsi"/>
              </w:rPr>
              <w:t>Acute</w:t>
            </w:r>
          </w:p>
        </w:tc>
        <w:tc>
          <w:tcPr>
            <w:tcW w:w="607" w:type="pct"/>
            <w:shd w:val="clear" w:color="auto" w:fill="auto"/>
          </w:tcPr>
          <w:p w14:paraId="4E043002" w14:textId="77777777" w:rsidR="008F1754"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3003" w14:textId="77777777" w:rsidR="008F1754" w:rsidRPr="005577A5" w:rsidRDefault="00F039DE" w:rsidP="00387CB9">
            <w:pPr>
              <w:pStyle w:val="TableText"/>
              <w:rPr>
                <w:rFonts w:cstheme="minorHAnsi"/>
                <w:highlight w:val="yellow"/>
              </w:rPr>
            </w:pPr>
            <w:r>
              <w:rPr>
                <w:rFonts w:cstheme="minorHAnsi"/>
              </w:rPr>
              <w:t>–</w:t>
            </w:r>
          </w:p>
        </w:tc>
        <w:tc>
          <w:tcPr>
            <w:tcW w:w="355" w:type="pct"/>
            <w:shd w:val="clear" w:color="auto" w:fill="auto"/>
          </w:tcPr>
          <w:p w14:paraId="4E043004" w14:textId="77777777" w:rsidR="008F1754" w:rsidRPr="005577A5" w:rsidRDefault="00F039DE" w:rsidP="00387CB9">
            <w:pPr>
              <w:pStyle w:val="TableText"/>
              <w:rPr>
                <w:rFonts w:cstheme="minorHAnsi"/>
                <w:highlight w:val="yellow"/>
              </w:rPr>
            </w:pPr>
            <w:r>
              <w:rPr>
                <w:rFonts w:cstheme="minorHAnsi"/>
              </w:rPr>
              <w:t>–</w:t>
            </w:r>
          </w:p>
        </w:tc>
        <w:tc>
          <w:tcPr>
            <w:tcW w:w="304" w:type="pct"/>
            <w:shd w:val="clear" w:color="auto" w:fill="auto"/>
          </w:tcPr>
          <w:p w14:paraId="4E043005" w14:textId="77777777" w:rsidR="008F1754" w:rsidRPr="005577A5" w:rsidRDefault="00F039DE" w:rsidP="00387CB9">
            <w:pPr>
              <w:pStyle w:val="TableText"/>
              <w:rPr>
                <w:rFonts w:cstheme="minorHAnsi"/>
                <w:highlight w:val="yellow"/>
              </w:rPr>
            </w:pPr>
            <w:r>
              <w:rPr>
                <w:rFonts w:cstheme="minorHAnsi"/>
              </w:rPr>
              <w:t>–</w:t>
            </w:r>
          </w:p>
        </w:tc>
        <w:tc>
          <w:tcPr>
            <w:tcW w:w="303" w:type="pct"/>
            <w:shd w:val="clear" w:color="auto" w:fill="auto"/>
          </w:tcPr>
          <w:p w14:paraId="4E043006" w14:textId="77777777" w:rsidR="008F1754" w:rsidRPr="005577A5" w:rsidRDefault="00F039DE" w:rsidP="00387CB9">
            <w:pPr>
              <w:pStyle w:val="TableText"/>
              <w:rPr>
                <w:rFonts w:cstheme="minorHAnsi"/>
                <w:highlight w:val="yellow"/>
              </w:rPr>
            </w:pPr>
            <w:r>
              <w:rPr>
                <w:rFonts w:cstheme="minorHAnsi"/>
              </w:rPr>
              <w:t>–</w:t>
            </w:r>
          </w:p>
        </w:tc>
        <w:tc>
          <w:tcPr>
            <w:tcW w:w="507" w:type="pct"/>
            <w:shd w:val="clear" w:color="auto" w:fill="auto"/>
          </w:tcPr>
          <w:p w14:paraId="4E043007" w14:textId="77777777" w:rsidR="008F1754" w:rsidRPr="005577A5" w:rsidRDefault="00F039DE" w:rsidP="00387CB9">
            <w:pPr>
              <w:pStyle w:val="TableText"/>
              <w:rPr>
                <w:rFonts w:cstheme="minorHAnsi"/>
              </w:rPr>
            </w:pPr>
            <w:r w:rsidRPr="005577A5">
              <w:rPr>
                <w:rFonts w:cstheme="minorHAnsi"/>
              </w:rPr>
              <w:t>2</w:t>
            </w:r>
            <w:r w:rsidR="007F72A8">
              <w:rPr>
                <w:rFonts w:cstheme="minorHAnsi"/>
              </w:rPr>
              <w:t> </w:t>
            </w:r>
            <w:r w:rsidRPr="005577A5">
              <w:rPr>
                <w:rFonts w:cstheme="minorHAnsi"/>
              </w:rPr>
              <w:t>400</w:t>
            </w:r>
          </w:p>
        </w:tc>
        <w:tc>
          <w:tcPr>
            <w:tcW w:w="545" w:type="pct"/>
            <w:shd w:val="clear" w:color="auto" w:fill="auto"/>
          </w:tcPr>
          <w:p w14:paraId="4E043008" w14:textId="77777777" w:rsidR="008F1754" w:rsidRPr="005577A5" w:rsidRDefault="00F039DE" w:rsidP="00387CB9">
            <w:pPr>
              <w:pStyle w:val="TableText"/>
              <w:rPr>
                <w:rFonts w:cstheme="minorHAnsi"/>
                <w:highlight w:val="yellow"/>
              </w:rPr>
            </w:pPr>
            <w:r>
              <w:rPr>
                <w:rFonts w:cstheme="minorHAnsi"/>
              </w:rPr>
              <w:t xml:space="preserve">USEPA </w:t>
            </w:r>
            <w:r w:rsidRPr="005577A5">
              <w:rPr>
                <w:rFonts w:cstheme="minorHAnsi"/>
              </w:rPr>
              <w:t>OPP 2019</w:t>
            </w:r>
          </w:p>
        </w:tc>
      </w:tr>
      <w:tr w:rsidR="00690C51" w14:paraId="4E043016" w14:textId="77777777" w:rsidTr="0031060C">
        <w:trPr>
          <w:cantSplit/>
        </w:trPr>
        <w:tc>
          <w:tcPr>
            <w:tcW w:w="405" w:type="pct"/>
            <w:vMerge/>
            <w:shd w:val="clear" w:color="auto" w:fill="auto"/>
          </w:tcPr>
          <w:p w14:paraId="4E04300A" w14:textId="77777777" w:rsidR="008F1754" w:rsidRPr="005D54AD" w:rsidRDefault="008F1754" w:rsidP="00387CB9">
            <w:pPr>
              <w:pStyle w:val="TableText"/>
              <w:rPr>
                <w:rFonts w:cstheme="minorHAnsi"/>
                <w:highlight w:val="yellow"/>
              </w:rPr>
            </w:pPr>
          </w:p>
        </w:tc>
        <w:tc>
          <w:tcPr>
            <w:tcW w:w="506" w:type="pct"/>
            <w:vMerge/>
            <w:tcBorders>
              <w:bottom w:val="nil"/>
            </w:tcBorders>
            <w:shd w:val="clear" w:color="auto" w:fill="auto"/>
          </w:tcPr>
          <w:p w14:paraId="4E04300B" w14:textId="77777777" w:rsidR="008F1754" w:rsidRPr="00C25395" w:rsidRDefault="008F1754" w:rsidP="00387CB9">
            <w:pPr>
              <w:pStyle w:val="TableText"/>
              <w:rPr>
                <w:rFonts w:cstheme="minorHAnsi"/>
                <w:i/>
              </w:rPr>
            </w:pPr>
          </w:p>
        </w:tc>
        <w:tc>
          <w:tcPr>
            <w:tcW w:w="303" w:type="pct"/>
            <w:tcBorders>
              <w:bottom w:val="nil"/>
            </w:tcBorders>
            <w:shd w:val="clear" w:color="auto" w:fill="auto"/>
          </w:tcPr>
          <w:p w14:paraId="4E04300C" w14:textId="77777777" w:rsidR="008F1754" w:rsidRPr="005D54AD" w:rsidRDefault="00F039DE" w:rsidP="00387CB9">
            <w:pPr>
              <w:pStyle w:val="TableText"/>
              <w:rPr>
                <w:rFonts w:cstheme="minorHAnsi"/>
              </w:rPr>
            </w:pPr>
            <w:r w:rsidRPr="00C25395">
              <w:rPr>
                <w:rFonts w:cstheme="minorHAnsi"/>
              </w:rPr>
              <w:t>Fry</w:t>
            </w:r>
          </w:p>
        </w:tc>
        <w:tc>
          <w:tcPr>
            <w:tcW w:w="405" w:type="pct"/>
            <w:tcBorders>
              <w:bottom w:val="nil"/>
            </w:tcBorders>
            <w:shd w:val="clear" w:color="auto" w:fill="auto"/>
          </w:tcPr>
          <w:p w14:paraId="4E04300D" w14:textId="77777777" w:rsidR="008F1754" w:rsidRPr="005D54AD" w:rsidRDefault="00F039DE" w:rsidP="00387CB9">
            <w:pPr>
              <w:pStyle w:val="TableText"/>
              <w:rPr>
                <w:rFonts w:cstheme="minorHAnsi"/>
              </w:rPr>
            </w:pPr>
            <w:r w:rsidRPr="005D54AD">
              <w:rPr>
                <w:rFonts w:cstheme="minorHAnsi"/>
              </w:rPr>
              <w:t>96</w:t>
            </w:r>
          </w:p>
        </w:tc>
        <w:tc>
          <w:tcPr>
            <w:tcW w:w="304" w:type="pct"/>
            <w:tcBorders>
              <w:bottom w:val="nil"/>
            </w:tcBorders>
            <w:shd w:val="clear" w:color="auto" w:fill="auto"/>
          </w:tcPr>
          <w:p w14:paraId="4E04300E" w14:textId="77777777" w:rsidR="008F1754" w:rsidRPr="005D54AD" w:rsidRDefault="00F039DE" w:rsidP="00387CB9">
            <w:pPr>
              <w:pStyle w:val="TableText"/>
              <w:rPr>
                <w:rFonts w:cstheme="minorHAnsi"/>
              </w:rPr>
            </w:pPr>
            <w:r w:rsidRPr="005D54AD">
              <w:rPr>
                <w:rFonts w:cstheme="minorHAnsi"/>
              </w:rPr>
              <w:t>Acute</w:t>
            </w:r>
          </w:p>
        </w:tc>
        <w:tc>
          <w:tcPr>
            <w:tcW w:w="607" w:type="pct"/>
            <w:tcBorders>
              <w:bottom w:val="nil"/>
            </w:tcBorders>
            <w:shd w:val="clear" w:color="auto" w:fill="auto"/>
          </w:tcPr>
          <w:p w14:paraId="4E04300F" w14:textId="77777777" w:rsidR="008F1754" w:rsidRPr="005577A5" w:rsidRDefault="00F039DE" w:rsidP="00387CB9">
            <w:pPr>
              <w:pStyle w:val="TableText"/>
              <w:rPr>
                <w:rFonts w:cstheme="minorHAnsi"/>
                <w:highlight w:val="yellow"/>
              </w:rPr>
            </w:pPr>
            <w:r w:rsidRPr="005577A5">
              <w:rPr>
                <w:rFonts w:cstheme="minorHAnsi"/>
              </w:rPr>
              <w:t>LC50 (Survival)</w:t>
            </w:r>
          </w:p>
        </w:tc>
        <w:tc>
          <w:tcPr>
            <w:tcW w:w="456" w:type="pct"/>
            <w:tcBorders>
              <w:bottom w:val="nil"/>
            </w:tcBorders>
            <w:shd w:val="clear" w:color="auto" w:fill="auto"/>
          </w:tcPr>
          <w:p w14:paraId="4E043010" w14:textId="77777777" w:rsidR="008F1754" w:rsidRPr="005577A5" w:rsidRDefault="00F039DE" w:rsidP="00387CB9">
            <w:pPr>
              <w:pStyle w:val="TableText"/>
              <w:rPr>
                <w:rFonts w:cstheme="minorHAnsi"/>
                <w:highlight w:val="yellow"/>
              </w:rPr>
            </w:pPr>
            <w:r>
              <w:rPr>
                <w:rFonts w:cstheme="minorHAnsi"/>
              </w:rPr>
              <w:t>–</w:t>
            </w:r>
          </w:p>
        </w:tc>
        <w:tc>
          <w:tcPr>
            <w:tcW w:w="355" w:type="pct"/>
            <w:tcBorders>
              <w:bottom w:val="nil"/>
            </w:tcBorders>
            <w:shd w:val="clear" w:color="auto" w:fill="auto"/>
          </w:tcPr>
          <w:p w14:paraId="4E043011" w14:textId="77777777" w:rsidR="008F1754" w:rsidRPr="005577A5" w:rsidRDefault="00F039DE" w:rsidP="00387CB9">
            <w:pPr>
              <w:pStyle w:val="TableText"/>
              <w:rPr>
                <w:rFonts w:cstheme="minorHAnsi"/>
                <w:highlight w:val="yellow"/>
              </w:rPr>
            </w:pPr>
            <w:r>
              <w:rPr>
                <w:rFonts w:cstheme="minorHAnsi"/>
              </w:rPr>
              <w:t>–</w:t>
            </w:r>
          </w:p>
        </w:tc>
        <w:tc>
          <w:tcPr>
            <w:tcW w:w="304" w:type="pct"/>
            <w:tcBorders>
              <w:bottom w:val="nil"/>
            </w:tcBorders>
            <w:shd w:val="clear" w:color="auto" w:fill="auto"/>
          </w:tcPr>
          <w:p w14:paraId="4E043012" w14:textId="77777777" w:rsidR="008F1754" w:rsidRPr="005577A5" w:rsidRDefault="00F039DE" w:rsidP="00387CB9">
            <w:pPr>
              <w:pStyle w:val="TableText"/>
              <w:rPr>
                <w:rFonts w:cstheme="minorHAnsi"/>
                <w:highlight w:val="yellow"/>
              </w:rPr>
            </w:pPr>
            <w:r>
              <w:rPr>
                <w:rFonts w:cstheme="minorHAnsi"/>
              </w:rPr>
              <w:t>–</w:t>
            </w:r>
          </w:p>
        </w:tc>
        <w:tc>
          <w:tcPr>
            <w:tcW w:w="303" w:type="pct"/>
            <w:tcBorders>
              <w:bottom w:val="nil"/>
            </w:tcBorders>
            <w:shd w:val="clear" w:color="auto" w:fill="auto"/>
          </w:tcPr>
          <w:p w14:paraId="4E043013" w14:textId="77777777" w:rsidR="008F1754" w:rsidRPr="005577A5" w:rsidRDefault="00F039DE" w:rsidP="00387CB9">
            <w:pPr>
              <w:pStyle w:val="TableText"/>
              <w:rPr>
                <w:rFonts w:cstheme="minorHAnsi"/>
                <w:highlight w:val="yellow"/>
              </w:rPr>
            </w:pPr>
            <w:r>
              <w:rPr>
                <w:rFonts w:cstheme="minorHAnsi"/>
              </w:rPr>
              <w:t>–</w:t>
            </w:r>
          </w:p>
        </w:tc>
        <w:tc>
          <w:tcPr>
            <w:tcW w:w="507" w:type="pct"/>
            <w:shd w:val="clear" w:color="auto" w:fill="auto"/>
          </w:tcPr>
          <w:p w14:paraId="4E043014" w14:textId="77777777" w:rsidR="008F1754" w:rsidRPr="005577A5" w:rsidRDefault="00F039DE" w:rsidP="00387CB9">
            <w:pPr>
              <w:pStyle w:val="TableText"/>
              <w:rPr>
                <w:rFonts w:cstheme="minorHAnsi"/>
              </w:rPr>
            </w:pPr>
            <w:r w:rsidRPr="005577A5">
              <w:rPr>
                <w:rFonts w:cstheme="minorHAnsi"/>
              </w:rPr>
              <w:t>2</w:t>
            </w:r>
            <w:r w:rsidR="007F72A8">
              <w:rPr>
                <w:rFonts w:cstheme="minorHAnsi"/>
              </w:rPr>
              <w:t> </w:t>
            </w:r>
            <w:r w:rsidRPr="005577A5">
              <w:rPr>
                <w:rFonts w:cstheme="minorHAnsi"/>
              </w:rPr>
              <w:t>900</w:t>
            </w:r>
          </w:p>
        </w:tc>
        <w:tc>
          <w:tcPr>
            <w:tcW w:w="545" w:type="pct"/>
            <w:shd w:val="clear" w:color="auto" w:fill="auto"/>
          </w:tcPr>
          <w:p w14:paraId="4E043015" w14:textId="77777777" w:rsidR="008F1754" w:rsidRPr="005577A5" w:rsidRDefault="00F039DE" w:rsidP="00387CB9">
            <w:pPr>
              <w:pStyle w:val="TableText"/>
              <w:rPr>
                <w:rFonts w:cstheme="minorHAnsi"/>
                <w:highlight w:val="yellow"/>
              </w:rPr>
            </w:pPr>
            <w:r>
              <w:rPr>
                <w:rFonts w:cstheme="minorHAnsi"/>
              </w:rPr>
              <w:t xml:space="preserve">USEPA </w:t>
            </w:r>
            <w:r w:rsidRPr="005577A5">
              <w:rPr>
                <w:rFonts w:cstheme="minorHAnsi"/>
              </w:rPr>
              <w:t>OPP 2019</w:t>
            </w:r>
          </w:p>
        </w:tc>
      </w:tr>
      <w:tr w:rsidR="00690C51" w14:paraId="4E04301B" w14:textId="77777777" w:rsidTr="0031060C">
        <w:trPr>
          <w:cantSplit/>
        </w:trPr>
        <w:tc>
          <w:tcPr>
            <w:tcW w:w="405" w:type="pct"/>
            <w:vMerge/>
            <w:shd w:val="clear" w:color="auto" w:fill="auto"/>
          </w:tcPr>
          <w:p w14:paraId="4E043017" w14:textId="77777777" w:rsidR="00FF79BF" w:rsidRPr="005D54AD" w:rsidRDefault="00FF79BF" w:rsidP="00387CB9">
            <w:pPr>
              <w:pStyle w:val="TableText"/>
              <w:rPr>
                <w:rFonts w:cstheme="minorHAnsi"/>
                <w:highlight w:val="yellow"/>
              </w:rPr>
            </w:pPr>
          </w:p>
        </w:tc>
        <w:tc>
          <w:tcPr>
            <w:tcW w:w="3543" w:type="pct"/>
            <w:gridSpan w:val="9"/>
            <w:tcBorders>
              <w:top w:val="nil"/>
            </w:tcBorders>
            <w:shd w:val="clear" w:color="auto" w:fill="auto"/>
          </w:tcPr>
          <w:p w14:paraId="4E043018" w14:textId="77777777" w:rsidR="00FF79BF" w:rsidRPr="005577A5" w:rsidRDefault="00F039DE" w:rsidP="00387CB9">
            <w:pPr>
              <w:pStyle w:val="TableText"/>
              <w:rPr>
                <w:rFonts w:cstheme="minorHAnsi"/>
                <w:highlight w:val="yellow"/>
              </w:rPr>
            </w:pPr>
            <w:r w:rsidRPr="00FF79BF">
              <w:rPr>
                <w:rFonts w:cstheme="minorHAnsi"/>
              </w:rPr>
              <w:t>–</w:t>
            </w:r>
          </w:p>
        </w:tc>
        <w:tc>
          <w:tcPr>
            <w:tcW w:w="507" w:type="pct"/>
            <w:shd w:val="clear" w:color="auto" w:fill="auto"/>
          </w:tcPr>
          <w:p w14:paraId="4E043019" w14:textId="77777777" w:rsidR="00FF79BF" w:rsidRPr="00B03C38" w:rsidRDefault="00F039DE" w:rsidP="00387CB9">
            <w:pPr>
              <w:pStyle w:val="TableText"/>
              <w:rPr>
                <w:rFonts w:cstheme="minorHAnsi"/>
                <w:highlight w:val="yellow"/>
              </w:rPr>
            </w:pPr>
            <w:r w:rsidRPr="00B03C38">
              <w:rPr>
                <w:rFonts w:cstheme="minorHAnsi"/>
              </w:rPr>
              <w:t>2</w:t>
            </w:r>
            <w:r w:rsidR="007F72A8">
              <w:rPr>
                <w:rFonts w:cstheme="minorHAnsi"/>
              </w:rPr>
              <w:t> </w:t>
            </w:r>
            <w:r w:rsidRPr="00B03C38">
              <w:rPr>
                <w:rFonts w:cstheme="minorHAnsi"/>
              </w:rPr>
              <w:t xml:space="preserve">360 </w:t>
            </w:r>
            <w:r w:rsidRPr="00822D99">
              <w:rPr>
                <w:rStyle w:val="Strong"/>
                <w:vertAlign w:val="superscript"/>
              </w:rPr>
              <w:t>c</w:t>
            </w:r>
          </w:p>
        </w:tc>
        <w:tc>
          <w:tcPr>
            <w:tcW w:w="545" w:type="pct"/>
            <w:shd w:val="clear" w:color="auto" w:fill="auto"/>
          </w:tcPr>
          <w:p w14:paraId="4E04301A" w14:textId="77777777" w:rsidR="00FF79BF" w:rsidRPr="00971596" w:rsidRDefault="00F039DE" w:rsidP="00387CB9">
            <w:pPr>
              <w:pStyle w:val="TableText"/>
              <w:rPr>
                <w:rFonts w:cstheme="minorHAnsi"/>
                <w:b/>
                <w:bCs/>
                <w:highlight w:val="yellow"/>
              </w:rPr>
            </w:pPr>
            <w:r w:rsidRPr="00971596">
              <w:rPr>
                <w:rFonts w:cstheme="minorHAnsi"/>
                <w:b/>
                <w:bCs/>
              </w:rPr>
              <w:t>Geometric mean</w:t>
            </w:r>
          </w:p>
        </w:tc>
      </w:tr>
      <w:tr w:rsidR="00690C51" w14:paraId="4E043028" w14:textId="77777777" w:rsidTr="0031060C">
        <w:trPr>
          <w:cantSplit/>
        </w:trPr>
        <w:tc>
          <w:tcPr>
            <w:tcW w:w="405" w:type="pct"/>
            <w:vMerge/>
            <w:shd w:val="clear" w:color="auto" w:fill="auto"/>
          </w:tcPr>
          <w:p w14:paraId="4E04301C" w14:textId="77777777" w:rsidR="00611C8C" w:rsidRPr="005D54AD" w:rsidRDefault="00611C8C" w:rsidP="00387CB9">
            <w:pPr>
              <w:pStyle w:val="TableText"/>
              <w:rPr>
                <w:rFonts w:cstheme="minorHAnsi"/>
                <w:highlight w:val="yellow"/>
              </w:rPr>
            </w:pPr>
          </w:p>
        </w:tc>
        <w:tc>
          <w:tcPr>
            <w:tcW w:w="506" w:type="pct"/>
            <w:shd w:val="clear" w:color="auto" w:fill="auto"/>
          </w:tcPr>
          <w:p w14:paraId="4E04301D" w14:textId="77777777" w:rsidR="00611C8C" w:rsidRPr="00C25395" w:rsidRDefault="00F039DE" w:rsidP="00387CB9">
            <w:pPr>
              <w:pStyle w:val="TableText"/>
              <w:rPr>
                <w:rFonts w:cstheme="minorHAnsi"/>
                <w:i/>
                <w:highlight w:val="yellow"/>
              </w:rPr>
            </w:pPr>
            <w:r w:rsidRPr="00C25395">
              <w:rPr>
                <w:rFonts w:cstheme="minorHAnsi"/>
                <w:i/>
              </w:rPr>
              <w:t>Oncorhynchus mykiss</w:t>
            </w:r>
          </w:p>
        </w:tc>
        <w:tc>
          <w:tcPr>
            <w:tcW w:w="303" w:type="pct"/>
            <w:shd w:val="clear" w:color="auto" w:fill="auto"/>
          </w:tcPr>
          <w:p w14:paraId="4E04301E" w14:textId="77777777" w:rsidR="00611C8C" w:rsidRPr="005D54AD" w:rsidRDefault="00F039DE" w:rsidP="00387CB9">
            <w:pPr>
              <w:pStyle w:val="TableText"/>
              <w:rPr>
                <w:rFonts w:cstheme="minorHAnsi"/>
                <w:highlight w:val="yellow"/>
              </w:rPr>
            </w:pPr>
            <w:r w:rsidRPr="00C25395">
              <w:rPr>
                <w:rFonts w:cstheme="minorHAnsi"/>
              </w:rPr>
              <w:t>Embryo</w:t>
            </w:r>
          </w:p>
        </w:tc>
        <w:tc>
          <w:tcPr>
            <w:tcW w:w="405" w:type="pct"/>
            <w:shd w:val="clear" w:color="auto" w:fill="auto"/>
          </w:tcPr>
          <w:p w14:paraId="4E04301F" w14:textId="77777777" w:rsidR="00611C8C" w:rsidRPr="005D54AD" w:rsidRDefault="00F039DE" w:rsidP="00387CB9">
            <w:pPr>
              <w:pStyle w:val="TableText"/>
              <w:rPr>
                <w:rFonts w:cstheme="minorHAnsi"/>
                <w:highlight w:val="yellow"/>
              </w:rPr>
            </w:pPr>
            <w:r w:rsidRPr="005D54AD">
              <w:rPr>
                <w:rFonts w:cstheme="minorHAnsi"/>
              </w:rPr>
              <w:t>1</w:t>
            </w:r>
            <w:r w:rsidR="007D3039">
              <w:rPr>
                <w:rFonts w:cstheme="minorHAnsi"/>
              </w:rPr>
              <w:t> </w:t>
            </w:r>
            <w:r w:rsidRPr="005D54AD">
              <w:rPr>
                <w:rFonts w:cstheme="minorHAnsi"/>
              </w:rPr>
              <w:t>440</w:t>
            </w:r>
          </w:p>
        </w:tc>
        <w:tc>
          <w:tcPr>
            <w:tcW w:w="304" w:type="pct"/>
            <w:shd w:val="clear" w:color="auto" w:fill="auto"/>
          </w:tcPr>
          <w:p w14:paraId="4E043020" w14:textId="77777777" w:rsidR="00611C8C" w:rsidRPr="005D54AD" w:rsidRDefault="00F039DE" w:rsidP="00387CB9">
            <w:pPr>
              <w:pStyle w:val="TableText"/>
              <w:rPr>
                <w:rFonts w:cstheme="minorHAnsi"/>
                <w:highlight w:val="yellow"/>
              </w:rPr>
            </w:pPr>
            <w:r w:rsidRPr="005D54AD">
              <w:rPr>
                <w:rFonts w:cstheme="minorHAnsi"/>
              </w:rPr>
              <w:t>Chronic</w:t>
            </w:r>
          </w:p>
        </w:tc>
        <w:tc>
          <w:tcPr>
            <w:tcW w:w="607" w:type="pct"/>
            <w:shd w:val="clear" w:color="auto" w:fill="auto"/>
          </w:tcPr>
          <w:p w14:paraId="4E043021" w14:textId="77777777" w:rsidR="00611C8C" w:rsidRPr="005577A5" w:rsidRDefault="00F039DE" w:rsidP="00387CB9">
            <w:pPr>
              <w:pStyle w:val="TableText"/>
              <w:rPr>
                <w:rFonts w:cstheme="minorHAnsi"/>
              </w:rPr>
            </w:pPr>
            <w:r w:rsidRPr="005577A5">
              <w:rPr>
                <w:rFonts w:cstheme="minorHAnsi"/>
              </w:rPr>
              <w:t>NOEC (Growth)</w:t>
            </w:r>
          </w:p>
        </w:tc>
        <w:tc>
          <w:tcPr>
            <w:tcW w:w="456" w:type="pct"/>
            <w:shd w:val="clear" w:color="auto" w:fill="auto"/>
          </w:tcPr>
          <w:p w14:paraId="4E043022" w14:textId="77777777" w:rsidR="00611C8C" w:rsidRPr="005577A5" w:rsidRDefault="00F039DE" w:rsidP="00387CB9">
            <w:pPr>
              <w:pStyle w:val="TableText"/>
              <w:rPr>
                <w:rFonts w:cstheme="minorHAnsi"/>
              </w:rPr>
            </w:pPr>
            <w:r w:rsidRPr="005577A5">
              <w:rPr>
                <w:rFonts w:cstheme="minorHAnsi"/>
              </w:rPr>
              <w:t>Treated lake water</w:t>
            </w:r>
          </w:p>
        </w:tc>
        <w:tc>
          <w:tcPr>
            <w:tcW w:w="355" w:type="pct"/>
            <w:shd w:val="clear" w:color="auto" w:fill="auto"/>
          </w:tcPr>
          <w:p w14:paraId="4E043023" w14:textId="77777777" w:rsidR="00611C8C" w:rsidRPr="005577A5" w:rsidRDefault="00F039DE" w:rsidP="00387CB9">
            <w:pPr>
              <w:pStyle w:val="TableText"/>
              <w:rPr>
                <w:rFonts w:cstheme="minorHAnsi"/>
              </w:rPr>
            </w:pPr>
            <w:r w:rsidRPr="005577A5">
              <w:rPr>
                <w:rFonts w:cstheme="minorHAnsi"/>
              </w:rPr>
              <w:t>11.8</w:t>
            </w:r>
            <w:r w:rsidR="0079795A">
              <w:rPr>
                <w:rFonts w:cstheme="minorHAnsi"/>
              </w:rPr>
              <w:t>–</w:t>
            </w:r>
            <w:r w:rsidRPr="005577A5">
              <w:rPr>
                <w:rFonts w:cstheme="minorHAnsi"/>
              </w:rPr>
              <w:t>12.5</w:t>
            </w:r>
          </w:p>
        </w:tc>
        <w:tc>
          <w:tcPr>
            <w:tcW w:w="304" w:type="pct"/>
            <w:shd w:val="clear" w:color="auto" w:fill="auto"/>
          </w:tcPr>
          <w:p w14:paraId="4E043024" w14:textId="77777777" w:rsidR="00611C8C" w:rsidRPr="005577A5" w:rsidRDefault="00F039DE" w:rsidP="00387CB9">
            <w:pPr>
              <w:pStyle w:val="TableText"/>
              <w:rPr>
                <w:rFonts w:cstheme="minorHAnsi"/>
              </w:rPr>
            </w:pPr>
            <w:r>
              <w:rPr>
                <w:rFonts w:cstheme="minorHAnsi"/>
              </w:rPr>
              <w:t>–</w:t>
            </w:r>
          </w:p>
        </w:tc>
        <w:tc>
          <w:tcPr>
            <w:tcW w:w="303" w:type="pct"/>
            <w:shd w:val="clear" w:color="auto" w:fill="auto"/>
          </w:tcPr>
          <w:p w14:paraId="4E043025" w14:textId="77777777" w:rsidR="00611C8C" w:rsidRPr="005577A5" w:rsidRDefault="00F039DE" w:rsidP="00387CB9">
            <w:pPr>
              <w:pStyle w:val="TableText"/>
              <w:rPr>
                <w:rFonts w:cstheme="minorHAnsi"/>
              </w:rPr>
            </w:pPr>
            <w:r w:rsidRPr="005577A5">
              <w:rPr>
                <w:rFonts w:cstheme="minorHAnsi"/>
              </w:rPr>
              <w:t>7.8</w:t>
            </w:r>
            <w:r w:rsidR="0079795A">
              <w:rPr>
                <w:rFonts w:cstheme="minorHAnsi"/>
              </w:rPr>
              <w:t>–</w:t>
            </w:r>
            <w:r w:rsidRPr="005577A5">
              <w:rPr>
                <w:rFonts w:cstheme="minorHAnsi"/>
              </w:rPr>
              <w:t>8.2</w:t>
            </w:r>
          </w:p>
        </w:tc>
        <w:tc>
          <w:tcPr>
            <w:tcW w:w="507" w:type="pct"/>
            <w:shd w:val="clear" w:color="auto" w:fill="auto"/>
          </w:tcPr>
          <w:p w14:paraId="4E043026" w14:textId="77777777" w:rsidR="00611C8C" w:rsidRPr="005577A5" w:rsidRDefault="00F039DE" w:rsidP="00387CB9">
            <w:pPr>
              <w:pStyle w:val="TableText"/>
              <w:rPr>
                <w:rFonts w:cstheme="minorHAnsi"/>
              </w:rPr>
            </w:pPr>
            <w:r w:rsidRPr="005577A5">
              <w:rPr>
                <w:rFonts w:cstheme="minorHAnsi"/>
              </w:rPr>
              <w:t>550</w:t>
            </w:r>
            <w:r>
              <w:rPr>
                <w:rFonts w:cstheme="minorHAnsi"/>
              </w:rPr>
              <w:t xml:space="preserve"> </w:t>
            </w:r>
            <w:r w:rsidRPr="00822D99">
              <w:rPr>
                <w:rStyle w:val="Strong"/>
                <w:vertAlign w:val="superscript"/>
              </w:rPr>
              <w:t>b</w:t>
            </w:r>
          </w:p>
        </w:tc>
        <w:tc>
          <w:tcPr>
            <w:tcW w:w="545" w:type="pct"/>
            <w:shd w:val="clear" w:color="auto" w:fill="auto"/>
          </w:tcPr>
          <w:p w14:paraId="4E043027" w14:textId="77777777" w:rsidR="00611C8C" w:rsidRPr="005577A5" w:rsidRDefault="00F039DE" w:rsidP="00387CB9">
            <w:pPr>
              <w:pStyle w:val="TableText"/>
              <w:rPr>
                <w:rFonts w:cstheme="minorHAnsi"/>
              </w:rPr>
            </w:pPr>
            <w:r w:rsidRPr="005577A5">
              <w:rPr>
                <w:rFonts w:cstheme="minorHAnsi"/>
              </w:rPr>
              <w:t>Mayes et al. 1987</w:t>
            </w:r>
          </w:p>
        </w:tc>
      </w:tr>
      <w:tr w:rsidR="00690C51" w14:paraId="4E043035" w14:textId="77777777" w:rsidTr="0031060C">
        <w:trPr>
          <w:cantSplit/>
        </w:trPr>
        <w:tc>
          <w:tcPr>
            <w:tcW w:w="405" w:type="pct"/>
            <w:vMerge/>
            <w:shd w:val="clear" w:color="auto" w:fill="auto"/>
          </w:tcPr>
          <w:p w14:paraId="4E043029" w14:textId="77777777" w:rsidR="002604E9" w:rsidRPr="005D54AD" w:rsidRDefault="002604E9" w:rsidP="00387CB9">
            <w:pPr>
              <w:pStyle w:val="TableText"/>
              <w:rPr>
                <w:rFonts w:cstheme="minorHAnsi"/>
                <w:highlight w:val="yellow"/>
              </w:rPr>
            </w:pPr>
          </w:p>
        </w:tc>
        <w:tc>
          <w:tcPr>
            <w:tcW w:w="506" w:type="pct"/>
            <w:vMerge w:val="restart"/>
            <w:shd w:val="clear" w:color="auto" w:fill="auto"/>
          </w:tcPr>
          <w:p w14:paraId="4E04302A" w14:textId="77777777" w:rsidR="002604E9" w:rsidRPr="00C25395" w:rsidRDefault="00F039DE" w:rsidP="00387CB9">
            <w:pPr>
              <w:pStyle w:val="TableText"/>
              <w:rPr>
                <w:rFonts w:cstheme="minorHAnsi"/>
                <w:i/>
                <w:highlight w:val="yellow"/>
              </w:rPr>
            </w:pPr>
            <w:r w:rsidRPr="00C25395">
              <w:rPr>
                <w:rFonts w:cstheme="minorHAnsi"/>
                <w:i/>
              </w:rPr>
              <w:t>Lepomis macrochirus</w:t>
            </w:r>
          </w:p>
        </w:tc>
        <w:tc>
          <w:tcPr>
            <w:tcW w:w="303" w:type="pct"/>
            <w:shd w:val="clear" w:color="auto" w:fill="auto"/>
          </w:tcPr>
          <w:p w14:paraId="4E04302B" w14:textId="77777777" w:rsidR="002604E9" w:rsidRPr="005D54AD" w:rsidRDefault="00F039DE" w:rsidP="00387CB9">
            <w:pPr>
              <w:pStyle w:val="TableText"/>
              <w:rPr>
                <w:rFonts w:cstheme="minorHAnsi"/>
                <w:highlight w:val="yellow"/>
              </w:rPr>
            </w:pPr>
            <w:r w:rsidRPr="00C25395">
              <w:rPr>
                <w:rFonts w:cstheme="minorHAnsi"/>
              </w:rPr>
              <w:t>Juvenile</w:t>
            </w:r>
          </w:p>
        </w:tc>
        <w:tc>
          <w:tcPr>
            <w:tcW w:w="405" w:type="pct"/>
            <w:shd w:val="clear" w:color="auto" w:fill="auto"/>
          </w:tcPr>
          <w:p w14:paraId="4E04302C" w14:textId="77777777" w:rsidR="002604E9" w:rsidRPr="005D54AD" w:rsidRDefault="00F039DE" w:rsidP="00387CB9">
            <w:pPr>
              <w:pStyle w:val="TableText"/>
              <w:rPr>
                <w:rFonts w:cstheme="minorHAnsi"/>
                <w:highlight w:val="yellow"/>
              </w:rPr>
            </w:pPr>
            <w:r w:rsidRPr="005D54AD">
              <w:rPr>
                <w:rFonts w:cstheme="minorHAnsi"/>
              </w:rPr>
              <w:t>96</w:t>
            </w:r>
          </w:p>
        </w:tc>
        <w:tc>
          <w:tcPr>
            <w:tcW w:w="304" w:type="pct"/>
            <w:shd w:val="clear" w:color="auto" w:fill="auto"/>
          </w:tcPr>
          <w:p w14:paraId="4E04302D" w14:textId="77777777" w:rsidR="002604E9" w:rsidRPr="005D54AD" w:rsidRDefault="00F039DE" w:rsidP="00387CB9">
            <w:pPr>
              <w:pStyle w:val="TableText"/>
              <w:rPr>
                <w:rFonts w:cstheme="minorHAnsi"/>
                <w:highlight w:val="yellow"/>
              </w:rPr>
            </w:pPr>
            <w:r w:rsidRPr="005D54AD">
              <w:rPr>
                <w:rFonts w:cstheme="minorHAnsi"/>
              </w:rPr>
              <w:t>Acute</w:t>
            </w:r>
          </w:p>
        </w:tc>
        <w:tc>
          <w:tcPr>
            <w:tcW w:w="607" w:type="pct"/>
            <w:shd w:val="clear" w:color="auto" w:fill="auto"/>
          </w:tcPr>
          <w:p w14:paraId="4E04302E" w14:textId="77777777" w:rsidR="002604E9"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302F" w14:textId="77777777" w:rsidR="002604E9" w:rsidRPr="005577A5" w:rsidRDefault="00F039DE" w:rsidP="00387CB9">
            <w:pPr>
              <w:pStyle w:val="TableText"/>
              <w:rPr>
                <w:rFonts w:cstheme="minorHAnsi"/>
                <w:highlight w:val="yellow"/>
              </w:rPr>
            </w:pPr>
            <w:r>
              <w:rPr>
                <w:rFonts w:cstheme="minorHAnsi"/>
              </w:rPr>
              <w:t>–</w:t>
            </w:r>
          </w:p>
        </w:tc>
        <w:tc>
          <w:tcPr>
            <w:tcW w:w="355" w:type="pct"/>
            <w:shd w:val="clear" w:color="auto" w:fill="auto"/>
          </w:tcPr>
          <w:p w14:paraId="4E043030" w14:textId="77777777" w:rsidR="002604E9" w:rsidRPr="005577A5" w:rsidRDefault="00F039DE" w:rsidP="00387CB9">
            <w:pPr>
              <w:pStyle w:val="TableText"/>
              <w:rPr>
                <w:rFonts w:cstheme="minorHAnsi"/>
                <w:highlight w:val="yellow"/>
              </w:rPr>
            </w:pPr>
            <w:r>
              <w:rPr>
                <w:rFonts w:cstheme="minorHAnsi"/>
              </w:rPr>
              <w:t>–</w:t>
            </w:r>
          </w:p>
        </w:tc>
        <w:tc>
          <w:tcPr>
            <w:tcW w:w="304" w:type="pct"/>
            <w:shd w:val="clear" w:color="auto" w:fill="auto"/>
          </w:tcPr>
          <w:p w14:paraId="4E043031" w14:textId="77777777" w:rsidR="002604E9" w:rsidRPr="005577A5" w:rsidRDefault="00F039DE" w:rsidP="00387CB9">
            <w:pPr>
              <w:pStyle w:val="TableText"/>
              <w:rPr>
                <w:rFonts w:cstheme="minorHAnsi"/>
                <w:highlight w:val="yellow"/>
              </w:rPr>
            </w:pPr>
            <w:r>
              <w:rPr>
                <w:rFonts w:cstheme="minorHAnsi"/>
              </w:rPr>
              <w:t>–</w:t>
            </w:r>
          </w:p>
        </w:tc>
        <w:tc>
          <w:tcPr>
            <w:tcW w:w="303" w:type="pct"/>
            <w:shd w:val="clear" w:color="auto" w:fill="auto"/>
          </w:tcPr>
          <w:p w14:paraId="4E043032" w14:textId="77777777" w:rsidR="002604E9" w:rsidRPr="005577A5" w:rsidRDefault="00F039DE" w:rsidP="00387CB9">
            <w:pPr>
              <w:pStyle w:val="TableText"/>
              <w:rPr>
                <w:rFonts w:cstheme="minorHAnsi"/>
                <w:highlight w:val="yellow"/>
              </w:rPr>
            </w:pPr>
            <w:r>
              <w:rPr>
                <w:rFonts w:cstheme="minorHAnsi"/>
              </w:rPr>
              <w:t>–</w:t>
            </w:r>
          </w:p>
        </w:tc>
        <w:tc>
          <w:tcPr>
            <w:tcW w:w="507" w:type="pct"/>
            <w:shd w:val="clear" w:color="auto" w:fill="auto"/>
          </w:tcPr>
          <w:p w14:paraId="4E043033" w14:textId="77777777" w:rsidR="002604E9" w:rsidRPr="005577A5" w:rsidRDefault="00F039DE" w:rsidP="00387CB9">
            <w:pPr>
              <w:pStyle w:val="TableText"/>
              <w:rPr>
                <w:rFonts w:cstheme="minorHAnsi"/>
              </w:rPr>
            </w:pPr>
            <w:r w:rsidRPr="005577A5">
              <w:rPr>
                <w:rFonts w:cstheme="minorHAnsi"/>
              </w:rPr>
              <w:t>13</w:t>
            </w:r>
            <w:r w:rsidR="007F72A8">
              <w:rPr>
                <w:rFonts w:cstheme="minorHAnsi"/>
              </w:rPr>
              <w:t> </w:t>
            </w:r>
            <w:r w:rsidRPr="005577A5">
              <w:rPr>
                <w:rFonts w:cstheme="minorHAnsi"/>
              </w:rPr>
              <w:t>500</w:t>
            </w:r>
          </w:p>
        </w:tc>
        <w:tc>
          <w:tcPr>
            <w:tcW w:w="545" w:type="pct"/>
            <w:shd w:val="clear" w:color="auto" w:fill="auto"/>
          </w:tcPr>
          <w:p w14:paraId="4E043034" w14:textId="77777777" w:rsidR="002604E9" w:rsidRPr="005577A5" w:rsidRDefault="00F039DE" w:rsidP="00387CB9">
            <w:pPr>
              <w:pStyle w:val="TableText"/>
              <w:rPr>
                <w:rFonts w:cstheme="minorHAnsi"/>
              </w:rPr>
            </w:pPr>
            <w:r>
              <w:rPr>
                <w:rFonts w:cstheme="minorHAnsi"/>
              </w:rPr>
              <w:t xml:space="preserve">USEPA </w:t>
            </w:r>
            <w:r w:rsidRPr="005577A5">
              <w:rPr>
                <w:rFonts w:cstheme="minorHAnsi"/>
              </w:rPr>
              <w:t>OPP 2019</w:t>
            </w:r>
          </w:p>
        </w:tc>
      </w:tr>
      <w:tr w:rsidR="00690C51" w14:paraId="4E043042" w14:textId="77777777" w:rsidTr="0031060C">
        <w:trPr>
          <w:cantSplit/>
        </w:trPr>
        <w:tc>
          <w:tcPr>
            <w:tcW w:w="405" w:type="pct"/>
            <w:vMerge/>
            <w:shd w:val="clear" w:color="auto" w:fill="auto"/>
          </w:tcPr>
          <w:p w14:paraId="4E043036" w14:textId="77777777" w:rsidR="002604E9" w:rsidRPr="005D54AD" w:rsidRDefault="002604E9" w:rsidP="00387CB9">
            <w:pPr>
              <w:pStyle w:val="TableText"/>
              <w:rPr>
                <w:rFonts w:cstheme="minorHAnsi"/>
                <w:highlight w:val="yellow"/>
              </w:rPr>
            </w:pPr>
          </w:p>
        </w:tc>
        <w:tc>
          <w:tcPr>
            <w:tcW w:w="506" w:type="pct"/>
            <w:vMerge/>
            <w:shd w:val="clear" w:color="auto" w:fill="auto"/>
          </w:tcPr>
          <w:p w14:paraId="4E043037" w14:textId="77777777" w:rsidR="002604E9" w:rsidRPr="00C25395" w:rsidRDefault="002604E9" w:rsidP="00387CB9">
            <w:pPr>
              <w:pStyle w:val="TableText"/>
              <w:rPr>
                <w:rFonts w:cstheme="minorHAnsi"/>
                <w:i/>
              </w:rPr>
            </w:pPr>
          </w:p>
        </w:tc>
        <w:tc>
          <w:tcPr>
            <w:tcW w:w="303" w:type="pct"/>
            <w:shd w:val="clear" w:color="auto" w:fill="auto"/>
          </w:tcPr>
          <w:p w14:paraId="4E043038" w14:textId="77777777" w:rsidR="002604E9" w:rsidRPr="005D54AD" w:rsidRDefault="00F039DE" w:rsidP="00387CB9">
            <w:pPr>
              <w:pStyle w:val="TableText"/>
              <w:rPr>
                <w:rFonts w:cstheme="minorHAnsi"/>
              </w:rPr>
            </w:pPr>
            <w:r w:rsidRPr="00C25395">
              <w:rPr>
                <w:rFonts w:cstheme="minorHAnsi"/>
              </w:rPr>
              <w:t>Juve</w:t>
            </w:r>
            <w:r w:rsidRPr="005D54AD">
              <w:rPr>
                <w:rFonts w:cstheme="minorHAnsi"/>
              </w:rPr>
              <w:t>nile</w:t>
            </w:r>
          </w:p>
        </w:tc>
        <w:tc>
          <w:tcPr>
            <w:tcW w:w="405" w:type="pct"/>
            <w:shd w:val="clear" w:color="auto" w:fill="auto"/>
          </w:tcPr>
          <w:p w14:paraId="4E043039" w14:textId="77777777" w:rsidR="002604E9" w:rsidRPr="005D54AD" w:rsidRDefault="00F039DE" w:rsidP="00387CB9">
            <w:pPr>
              <w:pStyle w:val="TableText"/>
              <w:rPr>
                <w:rFonts w:cstheme="minorHAnsi"/>
              </w:rPr>
            </w:pPr>
            <w:r w:rsidRPr="005D54AD">
              <w:rPr>
                <w:rFonts w:cstheme="minorHAnsi"/>
              </w:rPr>
              <w:t>96</w:t>
            </w:r>
          </w:p>
        </w:tc>
        <w:tc>
          <w:tcPr>
            <w:tcW w:w="304" w:type="pct"/>
            <w:shd w:val="clear" w:color="auto" w:fill="auto"/>
          </w:tcPr>
          <w:p w14:paraId="4E04303A" w14:textId="77777777" w:rsidR="002604E9" w:rsidRPr="005D54AD" w:rsidRDefault="00F039DE" w:rsidP="00387CB9">
            <w:pPr>
              <w:pStyle w:val="TableText"/>
              <w:rPr>
                <w:rFonts w:cstheme="minorHAnsi"/>
              </w:rPr>
            </w:pPr>
            <w:r w:rsidRPr="005D54AD">
              <w:rPr>
                <w:rFonts w:cstheme="minorHAnsi"/>
              </w:rPr>
              <w:t>Acute</w:t>
            </w:r>
          </w:p>
        </w:tc>
        <w:tc>
          <w:tcPr>
            <w:tcW w:w="607" w:type="pct"/>
            <w:shd w:val="clear" w:color="auto" w:fill="auto"/>
          </w:tcPr>
          <w:p w14:paraId="4E04303B" w14:textId="77777777" w:rsidR="002604E9"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303C" w14:textId="77777777" w:rsidR="002604E9" w:rsidRPr="005577A5" w:rsidRDefault="00F039DE" w:rsidP="00387CB9">
            <w:pPr>
              <w:pStyle w:val="TableText"/>
              <w:rPr>
                <w:rFonts w:cstheme="minorHAnsi"/>
              </w:rPr>
            </w:pPr>
            <w:r w:rsidRPr="005577A5">
              <w:rPr>
                <w:rFonts w:cstheme="minorHAnsi"/>
              </w:rPr>
              <w:t>Reconstituted water</w:t>
            </w:r>
          </w:p>
        </w:tc>
        <w:tc>
          <w:tcPr>
            <w:tcW w:w="355" w:type="pct"/>
            <w:shd w:val="clear" w:color="auto" w:fill="auto"/>
          </w:tcPr>
          <w:p w14:paraId="4E04303D" w14:textId="77777777" w:rsidR="002604E9" w:rsidRPr="005577A5" w:rsidRDefault="00F039DE" w:rsidP="00387CB9">
            <w:pPr>
              <w:pStyle w:val="TableText"/>
              <w:rPr>
                <w:rFonts w:cstheme="minorHAnsi"/>
              </w:rPr>
            </w:pPr>
            <w:r w:rsidRPr="005577A5">
              <w:rPr>
                <w:rFonts w:cstheme="minorHAnsi"/>
              </w:rPr>
              <w:t>23</w:t>
            </w:r>
            <w:r w:rsidR="0079795A">
              <w:rPr>
                <w:rFonts w:cstheme="minorHAnsi"/>
              </w:rPr>
              <w:t>–</w:t>
            </w:r>
            <w:r w:rsidRPr="005577A5">
              <w:rPr>
                <w:rFonts w:cstheme="minorHAnsi"/>
              </w:rPr>
              <w:t>25</w:t>
            </w:r>
          </w:p>
        </w:tc>
        <w:tc>
          <w:tcPr>
            <w:tcW w:w="304" w:type="pct"/>
            <w:shd w:val="clear" w:color="auto" w:fill="auto"/>
          </w:tcPr>
          <w:p w14:paraId="4E04303E" w14:textId="77777777" w:rsidR="002604E9" w:rsidRPr="005577A5" w:rsidRDefault="00F039DE" w:rsidP="00387CB9">
            <w:pPr>
              <w:pStyle w:val="TableText"/>
              <w:rPr>
                <w:rFonts w:cstheme="minorHAnsi"/>
              </w:rPr>
            </w:pPr>
            <w:r>
              <w:rPr>
                <w:rFonts w:cstheme="minorHAnsi"/>
              </w:rPr>
              <w:t>–</w:t>
            </w:r>
          </w:p>
        </w:tc>
        <w:tc>
          <w:tcPr>
            <w:tcW w:w="303" w:type="pct"/>
            <w:shd w:val="clear" w:color="auto" w:fill="auto"/>
          </w:tcPr>
          <w:p w14:paraId="4E04303F" w14:textId="77777777" w:rsidR="002604E9" w:rsidRPr="005577A5" w:rsidRDefault="00F039DE" w:rsidP="00387CB9">
            <w:pPr>
              <w:pStyle w:val="TableText"/>
              <w:rPr>
                <w:rFonts w:cstheme="minorHAnsi"/>
              </w:rPr>
            </w:pPr>
            <w:r w:rsidRPr="005577A5">
              <w:rPr>
                <w:rFonts w:cstheme="minorHAnsi"/>
              </w:rPr>
              <w:t>7.2</w:t>
            </w:r>
          </w:p>
        </w:tc>
        <w:tc>
          <w:tcPr>
            <w:tcW w:w="507" w:type="pct"/>
            <w:shd w:val="clear" w:color="auto" w:fill="auto"/>
          </w:tcPr>
          <w:p w14:paraId="4E043040" w14:textId="77777777" w:rsidR="002604E9" w:rsidRPr="005577A5" w:rsidRDefault="00F039DE" w:rsidP="00387CB9">
            <w:pPr>
              <w:pStyle w:val="TableText"/>
              <w:rPr>
                <w:rFonts w:cstheme="minorHAnsi"/>
              </w:rPr>
            </w:pPr>
            <w:r w:rsidRPr="005577A5">
              <w:rPr>
                <w:rFonts w:cstheme="minorHAnsi"/>
              </w:rPr>
              <w:t>14</w:t>
            </w:r>
            <w:r w:rsidR="007F72A8">
              <w:rPr>
                <w:rFonts w:cstheme="minorHAnsi"/>
              </w:rPr>
              <w:t> </w:t>
            </w:r>
            <w:r w:rsidRPr="005577A5">
              <w:rPr>
                <w:rFonts w:cstheme="minorHAnsi"/>
              </w:rPr>
              <w:t>500</w:t>
            </w:r>
          </w:p>
        </w:tc>
        <w:tc>
          <w:tcPr>
            <w:tcW w:w="545" w:type="pct"/>
            <w:shd w:val="clear" w:color="auto" w:fill="auto"/>
          </w:tcPr>
          <w:p w14:paraId="4E043041" w14:textId="77777777" w:rsidR="002604E9" w:rsidRPr="005577A5" w:rsidRDefault="00F039DE" w:rsidP="00387CB9">
            <w:pPr>
              <w:pStyle w:val="TableText"/>
              <w:rPr>
                <w:rFonts w:cstheme="minorHAnsi"/>
              </w:rPr>
            </w:pPr>
            <w:r w:rsidRPr="005577A5">
              <w:rPr>
                <w:rFonts w:cstheme="minorHAnsi"/>
              </w:rPr>
              <w:t xml:space="preserve">Mayes </w:t>
            </w:r>
            <w:r w:rsidR="001254B2">
              <w:rPr>
                <w:rFonts w:cstheme="minorHAnsi"/>
              </w:rPr>
              <w:t>&amp;</w:t>
            </w:r>
            <w:r w:rsidRPr="005577A5">
              <w:rPr>
                <w:rFonts w:cstheme="minorHAnsi"/>
              </w:rPr>
              <w:t xml:space="preserve"> Oliver 1985</w:t>
            </w:r>
          </w:p>
        </w:tc>
      </w:tr>
      <w:tr w:rsidR="00690C51" w14:paraId="4E04304F" w14:textId="77777777" w:rsidTr="0031060C">
        <w:trPr>
          <w:cantSplit/>
        </w:trPr>
        <w:tc>
          <w:tcPr>
            <w:tcW w:w="405" w:type="pct"/>
            <w:vMerge/>
            <w:shd w:val="clear" w:color="auto" w:fill="auto"/>
          </w:tcPr>
          <w:p w14:paraId="4E043043" w14:textId="77777777" w:rsidR="002604E9" w:rsidRPr="005D54AD" w:rsidRDefault="002604E9" w:rsidP="00387CB9">
            <w:pPr>
              <w:pStyle w:val="TableText"/>
              <w:rPr>
                <w:rFonts w:cstheme="minorHAnsi"/>
                <w:highlight w:val="yellow"/>
              </w:rPr>
            </w:pPr>
          </w:p>
        </w:tc>
        <w:tc>
          <w:tcPr>
            <w:tcW w:w="506" w:type="pct"/>
            <w:vMerge/>
            <w:shd w:val="clear" w:color="auto" w:fill="auto"/>
          </w:tcPr>
          <w:p w14:paraId="4E043044" w14:textId="77777777" w:rsidR="002604E9" w:rsidRPr="00C25395" w:rsidRDefault="002604E9" w:rsidP="00387CB9">
            <w:pPr>
              <w:pStyle w:val="TableText"/>
              <w:rPr>
                <w:rFonts w:cstheme="minorHAnsi"/>
                <w:i/>
              </w:rPr>
            </w:pPr>
          </w:p>
        </w:tc>
        <w:tc>
          <w:tcPr>
            <w:tcW w:w="303" w:type="pct"/>
            <w:shd w:val="clear" w:color="auto" w:fill="auto"/>
          </w:tcPr>
          <w:p w14:paraId="4E043045" w14:textId="77777777" w:rsidR="002604E9" w:rsidRPr="005D54AD" w:rsidRDefault="00F039DE" w:rsidP="00387CB9">
            <w:pPr>
              <w:pStyle w:val="TableText"/>
              <w:rPr>
                <w:rFonts w:cstheme="minorHAnsi"/>
              </w:rPr>
            </w:pPr>
            <w:r w:rsidRPr="005D54AD">
              <w:rPr>
                <w:rFonts w:cstheme="minorHAnsi"/>
              </w:rPr>
              <w:t>Juvenile</w:t>
            </w:r>
          </w:p>
        </w:tc>
        <w:tc>
          <w:tcPr>
            <w:tcW w:w="405" w:type="pct"/>
            <w:shd w:val="clear" w:color="auto" w:fill="auto"/>
          </w:tcPr>
          <w:p w14:paraId="4E043046" w14:textId="77777777" w:rsidR="002604E9" w:rsidRPr="005D54AD" w:rsidRDefault="00F039DE" w:rsidP="00387CB9">
            <w:pPr>
              <w:pStyle w:val="TableText"/>
              <w:rPr>
                <w:rFonts w:cstheme="minorHAnsi"/>
              </w:rPr>
            </w:pPr>
            <w:r w:rsidRPr="005D54AD">
              <w:rPr>
                <w:rFonts w:cstheme="minorHAnsi"/>
              </w:rPr>
              <w:t>96</w:t>
            </w:r>
          </w:p>
        </w:tc>
        <w:tc>
          <w:tcPr>
            <w:tcW w:w="304" w:type="pct"/>
            <w:shd w:val="clear" w:color="auto" w:fill="auto"/>
          </w:tcPr>
          <w:p w14:paraId="4E043047" w14:textId="77777777" w:rsidR="002604E9" w:rsidRPr="005D54AD" w:rsidRDefault="00F039DE" w:rsidP="00387CB9">
            <w:pPr>
              <w:pStyle w:val="TableText"/>
              <w:rPr>
                <w:rFonts w:cstheme="minorHAnsi"/>
              </w:rPr>
            </w:pPr>
            <w:r w:rsidRPr="005D54AD">
              <w:rPr>
                <w:rFonts w:cstheme="minorHAnsi"/>
              </w:rPr>
              <w:t>Acute</w:t>
            </w:r>
          </w:p>
        </w:tc>
        <w:tc>
          <w:tcPr>
            <w:tcW w:w="607" w:type="pct"/>
            <w:shd w:val="clear" w:color="auto" w:fill="auto"/>
          </w:tcPr>
          <w:p w14:paraId="4E043048" w14:textId="77777777" w:rsidR="002604E9"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3049" w14:textId="77777777" w:rsidR="002604E9" w:rsidRPr="005577A5" w:rsidRDefault="00F039DE" w:rsidP="00387CB9">
            <w:pPr>
              <w:pStyle w:val="TableText"/>
              <w:rPr>
                <w:rFonts w:cstheme="minorHAnsi"/>
              </w:rPr>
            </w:pPr>
            <w:r w:rsidRPr="005577A5">
              <w:rPr>
                <w:rFonts w:cstheme="minorHAnsi"/>
              </w:rPr>
              <w:t>Reconstituted water</w:t>
            </w:r>
          </w:p>
        </w:tc>
        <w:tc>
          <w:tcPr>
            <w:tcW w:w="355" w:type="pct"/>
            <w:shd w:val="clear" w:color="auto" w:fill="auto"/>
          </w:tcPr>
          <w:p w14:paraId="4E04304A" w14:textId="77777777" w:rsidR="002604E9" w:rsidRPr="005577A5" w:rsidRDefault="00F039DE" w:rsidP="00387CB9">
            <w:pPr>
              <w:pStyle w:val="TableText"/>
              <w:rPr>
                <w:rFonts w:cstheme="minorHAnsi"/>
              </w:rPr>
            </w:pPr>
            <w:r w:rsidRPr="005577A5">
              <w:rPr>
                <w:rFonts w:cstheme="minorHAnsi"/>
              </w:rPr>
              <w:t>21</w:t>
            </w:r>
            <w:r w:rsidR="0079795A">
              <w:rPr>
                <w:rFonts w:cstheme="minorHAnsi"/>
              </w:rPr>
              <w:t>–</w:t>
            </w:r>
            <w:r w:rsidRPr="005577A5">
              <w:rPr>
                <w:rFonts w:cstheme="minorHAnsi"/>
              </w:rPr>
              <w:t>23</w:t>
            </w:r>
          </w:p>
        </w:tc>
        <w:tc>
          <w:tcPr>
            <w:tcW w:w="304" w:type="pct"/>
            <w:shd w:val="clear" w:color="auto" w:fill="auto"/>
          </w:tcPr>
          <w:p w14:paraId="4E04304B" w14:textId="77777777" w:rsidR="002604E9" w:rsidRPr="005577A5" w:rsidRDefault="00F039DE" w:rsidP="00387CB9">
            <w:pPr>
              <w:pStyle w:val="TableText"/>
              <w:rPr>
                <w:rFonts w:cstheme="minorHAnsi"/>
              </w:rPr>
            </w:pPr>
            <w:r>
              <w:rPr>
                <w:rFonts w:cstheme="minorHAnsi"/>
              </w:rPr>
              <w:t>–</w:t>
            </w:r>
          </w:p>
        </w:tc>
        <w:tc>
          <w:tcPr>
            <w:tcW w:w="303" w:type="pct"/>
            <w:shd w:val="clear" w:color="auto" w:fill="auto"/>
          </w:tcPr>
          <w:p w14:paraId="4E04304C" w14:textId="77777777" w:rsidR="002604E9" w:rsidRPr="005577A5" w:rsidRDefault="00F039DE" w:rsidP="00387CB9">
            <w:pPr>
              <w:pStyle w:val="TableText"/>
              <w:rPr>
                <w:rFonts w:cstheme="minorHAnsi"/>
              </w:rPr>
            </w:pPr>
            <w:r w:rsidRPr="005577A5">
              <w:rPr>
                <w:rFonts w:cstheme="minorHAnsi"/>
              </w:rPr>
              <w:t>7.9</w:t>
            </w:r>
          </w:p>
        </w:tc>
        <w:tc>
          <w:tcPr>
            <w:tcW w:w="507" w:type="pct"/>
            <w:shd w:val="clear" w:color="auto" w:fill="auto"/>
          </w:tcPr>
          <w:p w14:paraId="4E04304D" w14:textId="77777777" w:rsidR="002604E9" w:rsidRPr="005577A5" w:rsidRDefault="00F039DE" w:rsidP="00387CB9">
            <w:pPr>
              <w:pStyle w:val="TableText"/>
              <w:rPr>
                <w:rFonts w:cstheme="minorHAnsi"/>
              </w:rPr>
            </w:pPr>
            <w:r w:rsidRPr="005577A5">
              <w:rPr>
                <w:rFonts w:cstheme="minorHAnsi"/>
              </w:rPr>
              <w:t>19</w:t>
            </w:r>
            <w:r w:rsidR="007F72A8">
              <w:rPr>
                <w:rFonts w:cstheme="minorHAnsi"/>
              </w:rPr>
              <w:t> </w:t>
            </w:r>
            <w:r w:rsidRPr="005577A5">
              <w:rPr>
                <w:rFonts w:cstheme="minorHAnsi"/>
              </w:rPr>
              <w:t>400</w:t>
            </w:r>
          </w:p>
        </w:tc>
        <w:tc>
          <w:tcPr>
            <w:tcW w:w="545" w:type="pct"/>
            <w:shd w:val="clear" w:color="auto" w:fill="auto"/>
          </w:tcPr>
          <w:p w14:paraId="4E04304E" w14:textId="77777777" w:rsidR="002604E9" w:rsidRPr="005577A5" w:rsidRDefault="00F039DE" w:rsidP="00387CB9">
            <w:pPr>
              <w:pStyle w:val="TableText"/>
              <w:rPr>
                <w:rFonts w:cstheme="minorHAnsi"/>
              </w:rPr>
            </w:pPr>
            <w:r w:rsidRPr="005577A5">
              <w:rPr>
                <w:rFonts w:cstheme="minorHAnsi"/>
              </w:rPr>
              <w:t xml:space="preserve">Mayes </w:t>
            </w:r>
            <w:r w:rsidR="001254B2">
              <w:rPr>
                <w:rFonts w:cstheme="minorHAnsi"/>
              </w:rPr>
              <w:t>&amp;</w:t>
            </w:r>
            <w:r w:rsidRPr="005577A5">
              <w:rPr>
                <w:rFonts w:cstheme="minorHAnsi"/>
              </w:rPr>
              <w:t xml:space="preserve"> Oliver 1985</w:t>
            </w:r>
          </w:p>
        </w:tc>
      </w:tr>
      <w:tr w:rsidR="00690C51" w14:paraId="4E04305C" w14:textId="77777777" w:rsidTr="0031060C">
        <w:trPr>
          <w:cantSplit/>
        </w:trPr>
        <w:tc>
          <w:tcPr>
            <w:tcW w:w="405" w:type="pct"/>
            <w:vMerge/>
            <w:shd w:val="clear" w:color="auto" w:fill="auto"/>
          </w:tcPr>
          <w:p w14:paraId="4E043050" w14:textId="77777777" w:rsidR="002604E9" w:rsidRPr="005D54AD" w:rsidRDefault="002604E9" w:rsidP="00387CB9">
            <w:pPr>
              <w:pStyle w:val="TableText"/>
              <w:rPr>
                <w:rFonts w:cstheme="minorHAnsi"/>
                <w:highlight w:val="yellow"/>
              </w:rPr>
            </w:pPr>
          </w:p>
        </w:tc>
        <w:tc>
          <w:tcPr>
            <w:tcW w:w="506" w:type="pct"/>
            <w:vMerge/>
            <w:shd w:val="clear" w:color="auto" w:fill="auto"/>
          </w:tcPr>
          <w:p w14:paraId="4E043051" w14:textId="77777777" w:rsidR="002604E9" w:rsidRPr="00C25395" w:rsidRDefault="002604E9" w:rsidP="00387CB9">
            <w:pPr>
              <w:pStyle w:val="TableText"/>
              <w:rPr>
                <w:rFonts w:cstheme="minorHAnsi"/>
                <w:i/>
              </w:rPr>
            </w:pPr>
          </w:p>
        </w:tc>
        <w:tc>
          <w:tcPr>
            <w:tcW w:w="303" w:type="pct"/>
            <w:shd w:val="clear" w:color="auto" w:fill="auto"/>
          </w:tcPr>
          <w:p w14:paraId="4E043052" w14:textId="77777777" w:rsidR="002604E9" w:rsidRPr="005D54AD" w:rsidRDefault="00F039DE" w:rsidP="00387CB9">
            <w:pPr>
              <w:pStyle w:val="TableText"/>
              <w:rPr>
                <w:rFonts w:cstheme="minorHAnsi"/>
              </w:rPr>
            </w:pPr>
            <w:r w:rsidRPr="00C25395">
              <w:rPr>
                <w:rFonts w:cstheme="minorHAnsi"/>
              </w:rPr>
              <w:t>Fry</w:t>
            </w:r>
            <w:r w:rsidR="00DC0918">
              <w:rPr>
                <w:rFonts w:cstheme="minorHAnsi"/>
              </w:rPr>
              <w:t>–</w:t>
            </w:r>
            <w:r w:rsidRPr="00C25395">
              <w:rPr>
                <w:rFonts w:cstheme="minorHAnsi"/>
              </w:rPr>
              <w:t>Juvenile</w:t>
            </w:r>
          </w:p>
        </w:tc>
        <w:tc>
          <w:tcPr>
            <w:tcW w:w="405" w:type="pct"/>
            <w:shd w:val="clear" w:color="auto" w:fill="auto"/>
          </w:tcPr>
          <w:p w14:paraId="4E043053" w14:textId="77777777" w:rsidR="002604E9" w:rsidRPr="005D54AD" w:rsidRDefault="00F039DE" w:rsidP="00387CB9">
            <w:pPr>
              <w:pStyle w:val="TableText"/>
              <w:rPr>
                <w:rFonts w:cstheme="minorHAnsi"/>
              </w:rPr>
            </w:pPr>
            <w:r w:rsidRPr="005D54AD">
              <w:rPr>
                <w:rFonts w:cstheme="minorHAnsi"/>
              </w:rPr>
              <w:t>96</w:t>
            </w:r>
          </w:p>
        </w:tc>
        <w:tc>
          <w:tcPr>
            <w:tcW w:w="304" w:type="pct"/>
            <w:shd w:val="clear" w:color="auto" w:fill="auto"/>
          </w:tcPr>
          <w:p w14:paraId="4E043054" w14:textId="77777777" w:rsidR="002604E9" w:rsidRPr="005D54AD" w:rsidRDefault="00F039DE" w:rsidP="00387CB9">
            <w:pPr>
              <w:pStyle w:val="TableText"/>
              <w:rPr>
                <w:rFonts w:cstheme="minorHAnsi"/>
              </w:rPr>
            </w:pPr>
            <w:r w:rsidRPr="005D54AD">
              <w:rPr>
                <w:rFonts w:cstheme="minorHAnsi"/>
              </w:rPr>
              <w:t>Acute</w:t>
            </w:r>
          </w:p>
        </w:tc>
        <w:tc>
          <w:tcPr>
            <w:tcW w:w="607" w:type="pct"/>
            <w:shd w:val="clear" w:color="auto" w:fill="auto"/>
          </w:tcPr>
          <w:p w14:paraId="4E043055" w14:textId="77777777" w:rsidR="002604E9"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3056" w14:textId="77777777" w:rsidR="002604E9" w:rsidRPr="005577A5" w:rsidRDefault="00F039DE" w:rsidP="00387CB9">
            <w:pPr>
              <w:pStyle w:val="TableText"/>
              <w:rPr>
                <w:rFonts w:cstheme="minorHAnsi"/>
              </w:rPr>
            </w:pPr>
            <w:r w:rsidRPr="005577A5">
              <w:rPr>
                <w:rFonts w:cstheme="minorHAnsi"/>
              </w:rPr>
              <w:t>Reconstituted water</w:t>
            </w:r>
          </w:p>
        </w:tc>
        <w:tc>
          <w:tcPr>
            <w:tcW w:w="355" w:type="pct"/>
            <w:shd w:val="clear" w:color="auto" w:fill="auto"/>
          </w:tcPr>
          <w:p w14:paraId="4E043057" w14:textId="77777777" w:rsidR="002604E9" w:rsidRPr="005577A5" w:rsidRDefault="00F039DE" w:rsidP="00387CB9">
            <w:pPr>
              <w:pStyle w:val="TableText"/>
              <w:rPr>
                <w:rFonts w:cstheme="minorHAnsi"/>
              </w:rPr>
            </w:pPr>
            <w:r w:rsidRPr="005577A5">
              <w:rPr>
                <w:rFonts w:cstheme="minorHAnsi"/>
              </w:rPr>
              <w:t>21</w:t>
            </w:r>
            <w:r w:rsidR="0079795A">
              <w:rPr>
                <w:rFonts w:cstheme="minorHAnsi"/>
              </w:rPr>
              <w:t>–</w:t>
            </w:r>
            <w:r w:rsidRPr="005577A5">
              <w:rPr>
                <w:rFonts w:cstheme="minorHAnsi"/>
              </w:rPr>
              <w:t>23</w:t>
            </w:r>
          </w:p>
        </w:tc>
        <w:tc>
          <w:tcPr>
            <w:tcW w:w="304" w:type="pct"/>
            <w:shd w:val="clear" w:color="auto" w:fill="auto"/>
          </w:tcPr>
          <w:p w14:paraId="4E043058" w14:textId="77777777" w:rsidR="002604E9" w:rsidRPr="005577A5" w:rsidRDefault="00F039DE" w:rsidP="00387CB9">
            <w:pPr>
              <w:pStyle w:val="TableText"/>
              <w:rPr>
                <w:rFonts w:cstheme="minorHAnsi"/>
              </w:rPr>
            </w:pPr>
            <w:r>
              <w:rPr>
                <w:rFonts w:cstheme="minorHAnsi"/>
              </w:rPr>
              <w:t>–</w:t>
            </w:r>
          </w:p>
        </w:tc>
        <w:tc>
          <w:tcPr>
            <w:tcW w:w="303" w:type="pct"/>
            <w:shd w:val="clear" w:color="auto" w:fill="auto"/>
          </w:tcPr>
          <w:p w14:paraId="4E043059" w14:textId="77777777" w:rsidR="002604E9" w:rsidRPr="005577A5" w:rsidRDefault="00F039DE" w:rsidP="00387CB9">
            <w:pPr>
              <w:pStyle w:val="TableText"/>
              <w:rPr>
                <w:rFonts w:cstheme="minorHAnsi"/>
              </w:rPr>
            </w:pPr>
            <w:r w:rsidRPr="005577A5">
              <w:rPr>
                <w:rFonts w:cstheme="minorHAnsi"/>
              </w:rPr>
              <w:t>7.4</w:t>
            </w:r>
            <w:r w:rsidR="0079795A">
              <w:rPr>
                <w:rFonts w:cstheme="minorHAnsi"/>
              </w:rPr>
              <w:t>–</w:t>
            </w:r>
            <w:r w:rsidRPr="005577A5">
              <w:rPr>
                <w:rFonts w:cstheme="minorHAnsi"/>
              </w:rPr>
              <w:t>8.1</w:t>
            </w:r>
          </w:p>
        </w:tc>
        <w:tc>
          <w:tcPr>
            <w:tcW w:w="507" w:type="pct"/>
            <w:shd w:val="clear" w:color="auto" w:fill="auto"/>
          </w:tcPr>
          <w:p w14:paraId="4E04305A" w14:textId="77777777" w:rsidR="002604E9" w:rsidRPr="005577A5" w:rsidRDefault="00F039DE" w:rsidP="00387CB9">
            <w:pPr>
              <w:pStyle w:val="TableText"/>
              <w:rPr>
                <w:rFonts w:cstheme="minorHAnsi"/>
              </w:rPr>
            </w:pPr>
            <w:r w:rsidRPr="005577A5">
              <w:rPr>
                <w:rFonts w:cstheme="minorHAnsi"/>
              </w:rPr>
              <w:t>21</w:t>
            </w:r>
            <w:r w:rsidR="007F72A8">
              <w:rPr>
                <w:rFonts w:cstheme="minorHAnsi"/>
              </w:rPr>
              <w:t> </w:t>
            </w:r>
            <w:r w:rsidRPr="005577A5">
              <w:rPr>
                <w:rFonts w:cstheme="minorHAnsi"/>
              </w:rPr>
              <w:t>900</w:t>
            </w:r>
          </w:p>
        </w:tc>
        <w:tc>
          <w:tcPr>
            <w:tcW w:w="545" w:type="pct"/>
            <w:shd w:val="clear" w:color="auto" w:fill="auto"/>
          </w:tcPr>
          <w:p w14:paraId="4E04305B" w14:textId="77777777" w:rsidR="002604E9" w:rsidRPr="005577A5" w:rsidRDefault="00F039DE" w:rsidP="00387CB9">
            <w:pPr>
              <w:pStyle w:val="TableText"/>
              <w:rPr>
                <w:rFonts w:cstheme="minorHAnsi"/>
              </w:rPr>
            </w:pPr>
            <w:r w:rsidRPr="005577A5">
              <w:rPr>
                <w:rFonts w:cstheme="minorHAnsi"/>
              </w:rPr>
              <w:t xml:space="preserve">Mayes </w:t>
            </w:r>
            <w:r w:rsidR="001254B2">
              <w:rPr>
                <w:rFonts w:cstheme="minorHAnsi"/>
              </w:rPr>
              <w:t>&amp;</w:t>
            </w:r>
            <w:r w:rsidRPr="005577A5">
              <w:rPr>
                <w:rFonts w:cstheme="minorHAnsi"/>
              </w:rPr>
              <w:t xml:space="preserve"> Oliver 1985</w:t>
            </w:r>
          </w:p>
        </w:tc>
      </w:tr>
      <w:tr w:rsidR="00690C51" w14:paraId="4E043069" w14:textId="77777777" w:rsidTr="0031060C">
        <w:trPr>
          <w:cantSplit/>
        </w:trPr>
        <w:tc>
          <w:tcPr>
            <w:tcW w:w="405" w:type="pct"/>
            <w:vMerge/>
            <w:shd w:val="clear" w:color="auto" w:fill="auto"/>
          </w:tcPr>
          <w:p w14:paraId="4E04305D" w14:textId="77777777" w:rsidR="002604E9" w:rsidRPr="005D54AD" w:rsidRDefault="002604E9" w:rsidP="00387CB9">
            <w:pPr>
              <w:pStyle w:val="TableText"/>
              <w:rPr>
                <w:rFonts w:cstheme="minorHAnsi"/>
                <w:highlight w:val="yellow"/>
              </w:rPr>
            </w:pPr>
          </w:p>
        </w:tc>
        <w:tc>
          <w:tcPr>
            <w:tcW w:w="506" w:type="pct"/>
            <w:vMerge/>
            <w:shd w:val="clear" w:color="auto" w:fill="auto"/>
          </w:tcPr>
          <w:p w14:paraId="4E04305E" w14:textId="77777777" w:rsidR="002604E9" w:rsidRPr="00C25395" w:rsidRDefault="002604E9" w:rsidP="00387CB9">
            <w:pPr>
              <w:pStyle w:val="TableText"/>
              <w:rPr>
                <w:rFonts w:cstheme="minorHAnsi"/>
                <w:i/>
              </w:rPr>
            </w:pPr>
          </w:p>
        </w:tc>
        <w:tc>
          <w:tcPr>
            <w:tcW w:w="303" w:type="pct"/>
            <w:shd w:val="clear" w:color="auto" w:fill="auto"/>
          </w:tcPr>
          <w:p w14:paraId="4E04305F" w14:textId="77777777" w:rsidR="002604E9" w:rsidRPr="005D54AD" w:rsidRDefault="00F039DE" w:rsidP="00387CB9">
            <w:pPr>
              <w:pStyle w:val="TableText"/>
              <w:rPr>
                <w:rFonts w:cstheme="minorHAnsi"/>
              </w:rPr>
            </w:pPr>
            <w:r w:rsidRPr="00C25395">
              <w:rPr>
                <w:rFonts w:cstheme="minorHAnsi"/>
              </w:rPr>
              <w:t>Juve</w:t>
            </w:r>
            <w:r w:rsidRPr="005D54AD">
              <w:rPr>
                <w:rFonts w:cstheme="minorHAnsi"/>
              </w:rPr>
              <w:t>nile</w:t>
            </w:r>
          </w:p>
        </w:tc>
        <w:tc>
          <w:tcPr>
            <w:tcW w:w="405" w:type="pct"/>
            <w:shd w:val="clear" w:color="auto" w:fill="auto"/>
          </w:tcPr>
          <w:p w14:paraId="4E043060" w14:textId="77777777" w:rsidR="002604E9" w:rsidRPr="005D54AD" w:rsidRDefault="00F039DE" w:rsidP="00387CB9">
            <w:pPr>
              <w:pStyle w:val="TableText"/>
              <w:rPr>
                <w:rFonts w:cstheme="minorHAnsi"/>
              </w:rPr>
            </w:pPr>
            <w:r w:rsidRPr="005D54AD">
              <w:rPr>
                <w:rFonts w:cstheme="minorHAnsi"/>
              </w:rPr>
              <w:t>96</w:t>
            </w:r>
          </w:p>
        </w:tc>
        <w:tc>
          <w:tcPr>
            <w:tcW w:w="304" w:type="pct"/>
            <w:shd w:val="clear" w:color="auto" w:fill="auto"/>
          </w:tcPr>
          <w:p w14:paraId="4E043061" w14:textId="77777777" w:rsidR="002604E9" w:rsidRPr="005D54AD" w:rsidRDefault="00F039DE" w:rsidP="00387CB9">
            <w:pPr>
              <w:pStyle w:val="TableText"/>
              <w:rPr>
                <w:rFonts w:cstheme="minorHAnsi"/>
              </w:rPr>
            </w:pPr>
            <w:r w:rsidRPr="005D54AD">
              <w:rPr>
                <w:rFonts w:cstheme="minorHAnsi"/>
              </w:rPr>
              <w:t>Acute</w:t>
            </w:r>
          </w:p>
        </w:tc>
        <w:tc>
          <w:tcPr>
            <w:tcW w:w="607" w:type="pct"/>
            <w:shd w:val="clear" w:color="auto" w:fill="auto"/>
          </w:tcPr>
          <w:p w14:paraId="4E043062" w14:textId="77777777" w:rsidR="002604E9"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3063" w14:textId="77777777" w:rsidR="002604E9" w:rsidRPr="005577A5" w:rsidRDefault="00F039DE" w:rsidP="00387CB9">
            <w:pPr>
              <w:pStyle w:val="TableText"/>
              <w:rPr>
                <w:rFonts w:cstheme="minorHAnsi"/>
              </w:rPr>
            </w:pPr>
            <w:r w:rsidRPr="005577A5">
              <w:rPr>
                <w:rFonts w:cstheme="minorHAnsi"/>
              </w:rPr>
              <w:t>Reconstituted water</w:t>
            </w:r>
          </w:p>
        </w:tc>
        <w:tc>
          <w:tcPr>
            <w:tcW w:w="355" w:type="pct"/>
            <w:shd w:val="clear" w:color="auto" w:fill="auto"/>
          </w:tcPr>
          <w:p w14:paraId="4E043064" w14:textId="77777777" w:rsidR="002604E9" w:rsidRPr="005577A5" w:rsidRDefault="00F039DE" w:rsidP="00387CB9">
            <w:pPr>
              <w:pStyle w:val="TableText"/>
              <w:rPr>
                <w:rFonts w:cstheme="minorHAnsi"/>
              </w:rPr>
            </w:pPr>
            <w:r w:rsidRPr="005577A5">
              <w:rPr>
                <w:rFonts w:cstheme="minorHAnsi"/>
              </w:rPr>
              <w:t>21</w:t>
            </w:r>
            <w:r w:rsidR="0079795A">
              <w:rPr>
                <w:rFonts w:cstheme="minorHAnsi"/>
              </w:rPr>
              <w:t>–</w:t>
            </w:r>
            <w:r w:rsidRPr="005577A5">
              <w:rPr>
                <w:rFonts w:cstheme="minorHAnsi"/>
              </w:rPr>
              <w:t>23</w:t>
            </w:r>
          </w:p>
        </w:tc>
        <w:tc>
          <w:tcPr>
            <w:tcW w:w="304" w:type="pct"/>
            <w:shd w:val="clear" w:color="auto" w:fill="auto"/>
          </w:tcPr>
          <w:p w14:paraId="4E043065" w14:textId="77777777" w:rsidR="002604E9" w:rsidRPr="005577A5" w:rsidRDefault="00F039DE" w:rsidP="00387CB9">
            <w:pPr>
              <w:pStyle w:val="TableText"/>
              <w:rPr>
                <w:rFonts w:cstheme="minorHAnsi"/>
              </w:rPr>
            </w:pPr>
            <w:r>
              <w:rPr>
                <w:rFonts w:cstheme="minorHAnsi"/>
              </w:rPr>
              <w:t>–</w:t>
            </w:r>
          </w:p>
        </w:tc>
        <w:tc>
          <w:tcPr>
            <w:tcW w:w="303" w:type="pct"/>
            <w:shd w:val="clear" w:color="auto" w:fill="auto"/>
          </w:tcPr>
          <w:p w14:paraId="4E043066" w14:textId="77777777" w:rsidR="002604E9" w:rsidRPr="005577A5" w:rsidRDefault="00F039DE" w:rsidP="00387CB9">
            <w:pPr>
              <w:pStyle w:val="TableText"/>
              <w:rPr>
                <w:rFonts w:cstheme="minorHAnsi"/>
              </w:rPr>
            </w:pPr>
            <w:r w:rsidRPr="005577A5">
              <w:rPr>
                <w:rFonts w:cstheme="minorHAnsi"/>
              </w:rPr>
              <w:t>7.4</w:t>
            </w:r>
            <w:r w:rsidR="0079795A">
              <w:rPr>
                <w:rFonts w:cstheme="minorHAnsi"/>
              </w:rPr>
              <w:t>–</w:t>
            </w:r>
            <w:r w:rsidRPr="005577A5">
              <w:rPr>
                <w:rFonts w:cstheme="minorHAnsi"/>
              </w:rPr>
              <w:t>8.1</w:t>
            </w:r>
          </w:p>
        </w:tc>
        <w:tc>
          <w:tcPr>
            <w:tcW w:w="507" w:type="pct"/>
            <w:shd w:val="clear" w:color="auto" w:fill="auto"/>
          </w:tcPr>
          <w:p w14:paraId="4E043067" w14:textId="77777777" w:rsidR="002604E9" w:rsidRPr="005577A5" w:rsidRDefault="00F039DE" w:rsidP="00387CB9">
            <w:pPr>
              <w:pStyle w:val="TableText"/>
              <w:rPr>
                <w:rFonts w:cstheme="minorHAnsi"/>
              </w:rPr>
            </w:pPr>
            <w:r w:rsidRPr="005577A5">
              <w:rPr>
                <w:rFonts w:cstheme="minorHAnsi"/>
              </w:rPr>
              <w:t>32</w:t>
            </w:r>
            <w:r w:rsidR="007F72A8">
              <w:rPr>
                <w:rFonts w:cstheme="minorHAnsi"/>
              </w:rPr>
              <w:t> </w:t>
            </w:r>
            <w:r w:rsidRPr="005577A5">
              <w:rPr>
                <w:rFonts w:cstheme="minorHAnsi"/>
              </w:rPr>
              <w:t>900</w:t>
            </w:r>
          </w:p>
        </w:tc>
        <w:tc>
          <w:tcPr>
            <w:tcW w:w="545" w:type="pct"/>
            <w:shd w:val="clear" w:color="auto" w:fill="auto"/>
          </w:tcPr>
          <w:p w14:paraId="4E043068" w14:textId="77777777" w:rsidR="002604E9" w:rsidRPr="005577A5" w:rsidRDefault="00F039DE" w:rsidP="00387CB9">
            <w:pPr>
              <w:pStyle w:val="TableText"/>
              <w:rPr>
                <w:rFonts w:cstheme="minorHAnsi"/>
              </w:rPr>
            </w:pPr>
            <w:r w:rsidRPr="005577A5">
              <w:rPr>
                <w:rFonts w:cstheme="minorHAnsi"/>
              </w:rPr>
              <w:t xml:space="preserve">Mayes </w:t>
            </w:r>
            <w:r w:rsidR="001254B2">
              <w:rPr>
                <w:rFonts w:cstheme="minorHAnsi"/>
              </w:rPr>
              <w:t>&amp;</w:t>
            </w:r>
            <w:r w:rsidRPr="005577A5">
              <w:rPr>
                <w:rFonts w:cstheme="minorHAnsi"/>
              </w:rPr>
              <w:t xml:space="preserve"> Oliver 1985</w:t>
            </w:r>
          </w:p>
        </w:tc>
      </w:tr>
      <w:tr w:rsidR="00690C51" w14:paraId="4E043076" w14:textId="77777777" w:rsidTr="0031060C">
        <w:trPr>
          <w:cantSplit/>
        </w:trPr>
        <w:tc>
          <w:tcPr>
            <w:tcW w:w="405" w:type="pct"/>
            <w:vMerge/>
            <w:shd w:val="clear" w:color="auto" w:fill="auto"/>
          </w:tcPr>
          <w:p w14:paraId="4E04306A" w14:textId="77777777" w:rsidR="002604E9" w:rsidRPr="005D54AD" w:rsidRDefault="002604E9" w:rsidP="00387CB9">
            <w:pPr>
              <w:pStyle w:val="TableText"/>
              <w:rPr>
                <w:rFonts w:cstheme="minorHAnsi"/>
                <w:highlight w:val="yellow"/>
              </w:rPr>
            </w:pPr>
          </w:p>
        </w:tc>
        <w:tc>
          <w:tcPr>
            <w:tcW w:w="506" w:type="pct"/>
            <w:vMerge/>
            <w:tcBorders>
              <w:bottom w:val="nil"/>
            </w:tcBorders>
            <w:shd w:val="clear" w:color="auto" w:fill="auto"/>
          </w:tcPr>
          <w:p w14:paraId="4E04306B" w14:textId="77777777" w:rsidR="002604E9" w:rsidRPr="00C25395" w:rsidRDefault="002604E9" w:rsidP="00387CB9">
            <w:pPr>
              <w:pStyle w:val="TableText"/>
              <w:rPr>
                <w:rFonts w:cstheme="minorHAnsi"/>
                <w:i/>
              </w:rPr>
            </w:pPr>
          </w:p>
        </w:tc>
        <w:tc>
          <w:tcPr>
            <w:tcW w:w="303" w:type="pct"/>
            <w:tcBorders>
              <w:bottom w:val="nil"/>
            </w:tcBorders>
            <w:shd w:val="clear" w:color="auto" w:fill="auto"/>
          </w:tcPr>
          <w:p w14:paraId="4E04306C" w14:textId="77777777" w:rsidR="002604E9" w:rsidRPr="005D54AD" w:rsidRDefault="00F039DE" w:rsidP="00387CB9">
            <w:pPr>
              <w:pStyle w:val="TableText"/>
              <w:rPr>
                <w:rFonts w:cstheme="minorHAnsi"/>
              </w:rPr>
            </w:pPr>
            <w:r w:rsidRPr="00C25395">
              <w:rPr>
                <w:rFonts w:cstheme="minorHAnsi"/>
              </w:rPr>
              <w:t>Juvenile</w:t>
            </w:r>
          </w:p>
        </w:tc>
        <w:tc>
          <w:tcPr>
            <w:tcW w:w="405" w:type="pct"/>
            <w:tcBorders>
              <w:bottom w:val="nil"/>
            </w:tcBorders>
            <w:shd w:val="clear" w:color="auto" w:fill="auto"/>
          </w:tcPr>
          <w:p w14:paraId="4E04306D" w14:textId="77777777" w:rsidR="002604E9" w:rsidRPr="005D54AD" w:rsidRDefault="00F039DE" w:rsidP="00387CB9">
            <w:pPr>
              <w:pStyle w:val="TableText"/>
              <w:rPr>
                <w:rFonts w:cstheme="minorHAnsi"/>
              </w:rPr>
            </w:pPr>
            <w:r w:rsidRPr="005D54AD">
              <w:rPr>
                <w:rFonts w:cstheme="minorHAnsi"/>
              </w:rPr>
              <w:t>96</w:t>
            </w:r>
          </w:p>
        </w:tc>
        <w:tc>
          <w:tcPr>
            <w:tcW w:w="304" w:type="pct"/>
            <w:tcBorders>
              <w:bottom w:val="nil"/>
            </w:tcBorders>
            <w:shd w:val="clear" w:color="auto" w:fill="auto"/>
          </w:tcPr>
          <w:p w14:paraId="4E04306E" w14:textId="77777777" w:rsidR="002604E9" w:rsidRPr="005D54AD" w:rsidRDefault="00F039DE" w:rsidP="00387CB9">
            <w:pPr>
              <w:pStyle w:val="TableText"/>
              <w:rPr>
                <w:rFonts w:cstheme="minorHAnsi"/>
              </w:rPr>
            </w:pPr>
            <w:r w:rsidRPr="005D54AD">
              <w:rPr>
                <w:rFonts w:cstheme="minorHAnsi"/>
              </w:rPr>
              <w:t>Acute</w:t>
            </w:r>
          </w:p>
        </w:tc>
        <w:tc>
          <w:tcPr>
            <w:tcW w:w="607" w:type="pct"/>
            <w:tcBorders>
              <w:bottom w:val="nil"/>
            </w:tcBorders>
            <w:shd w:val="clear" w:color="auto" w:fill="auto"/>
          </w:tcPr>
          <w:p w14:paraId="4E04306F" w14:textId="77777777" w:rsidR="002604E9" w:rsidRPr="005577A5" w:rsidRDefault="00F039DE" w:rsidP="00387CB9">
            <w:pPr>
              <w:pStyle w:val="TableText"/>
              <w:rPr>
                <w:rFonts w:cstheme="minorHAnsi"/>
                <w:highlight w:val="yellow"/>
              </w:rPr>
            </w:pPr>
            <w:r w:rsidRPr="005577A5">
              <w:rPr>
                <w:rFonts w:cstheme="minorHAnsi"/>
              </w:rPr>
              <w:t>LC50 (Survival)</w:t>
            </w:r>
          </w:p>
        </w:tc>
        <w:tc>
          <w:tcPr>
            <w:tcW w:w="456" w:type="pct"/>
            <w:tcBorders>
              <w:bottom w:val="nil"/>
            </w:tcBorders>
            <w:shd w:val="clear" w:color="auto" w:fill="auto"/>
          </w:tcPr>
          <w:p w14:paraId="4E043070" w14:textId="77777777" w:rsidR="002604E9" w:rsidRPr="005577A5" w:rsidRDefault="00F039DE" w:rsidP="00387CB9">
            <w:pPr>
              <w:pStyle w:val="TableText"/>
              <w:rPr>
                <w:rFonts w:cstheme="minorHAnsi"/>
                <w:highlight w:val="yellow"/>
              </w:rPr>
            </w:pPr>
            <w:r w:rsidRPr="005577A5">
              <w:rPr>
                <w:rFonts w:cstheme="minorHAnsi"/>
              </w:rPr>
              <w:t>Treated lake water</w:t>
            </w:r>
          </w:p>
        </w:tc>
        <w:tc>
          <w:tcPr>
            <w:tcW w:w="355" w:type="pct"/>
            <w:tcBorders>
              <w:bottom w:val="nil"/>
            </w:tcBorders>
            <w:shd w:val="clear" w:color="auto" w:fill="auto"/>
          </w:tcPr>
          <w:p w14:paraId="4E043071" w14:textId="77777777" w:rsidR="002604E9" w:rsidRPr="005577A5" w:rsidRDefault="00F039DE" w:rsidP="00387CB9">
            <w:pPr>
              <w:pStyle w:val="TableText"/>
              <w:rPr>
                <w:rFonts w:cstheme="minorHAnsi"/>
                <w:highlight w:val="yellow"/>
              </w:rPr>
            </w:pPr>
            <w:r w:rsidRPr="005577A5">
              <w:rPr>
                <w:rFonts w:cstheme="minorHAnsi"/>
              </w:rPr>
              <w:t>17</w:t>
            </w:r>
            <w:r w:rsidR="0079795A">
              <w:rPr>
                <w:rFonts w:cstheme="minorHAnsi"/>
              </w:rPr>
              <w:t>–</w:t>
            </w:r>
            <w:r w:rsidRPr="005577A5">
              <w:rPr>
                <w:rFonts w:cstheme="minorHAnsi"/>
              </w:rPr>
              <w:t>17.4</w:t>
            </w:r>
          </w:p>
        </w:tc>
        <w:tc>
          <w:tcPr>
            <w:tcW w:w="304" w:type="pct"/>
            <w:tcBorders>
              <w:bottom w:val="nil"/>
            </w:tcBorders>
            <w:shd w:val="clear" w:color="auto" w:fill="auto"/>
          </w:tcPr>
          <w:p w14:paraId="4E043072" w14:textId="77777777" w:rsidR="002604E9" w:rsidRPr="005577A5" w:rsidRDefault="00F039DE" w:rsidP="00387CB9">
            <w:pPr>
              <w:pStyle w:val="TableText"/>
              <w:rPr>
                <w:rFonts w:cstheme="minorHAnsi"/>
              </w:rPr>
            </w:pPr>
            <w:r>
              <w:rPr>
                <w:rFonts w:cstheme="minorHAnsi"/>
              </w:rPr>
              <w:t>–</w:t>
            </w:r>
          </w:p>
        </w:tc>
        <w:tc>
          <w:tcPr>
            <w:tcW w:w="303" w:type="pct"/>
            <w:tcBorders>
              <w:bottom w:val="nil"/>
            </w:tcBorders>
            <w:shd w:val="clear" w:color="auto" w:fill="auto"/>
          </w:tcPr>
          <w:p w14:paraId="4E043073" w14:textId="77777777" w:rsidR="002604E9" w:rsidRPr="005577A5" w:rsidRDefault="00F039DE" w:rsidP="00387CB9">
            <w:pPr>
              <w:pStyle w:val="TableText"/>
              <w:rPr>
                <w:rFonts w:cstheme="minorHAnsi"/>
              </w:rPr>
            </w:pPr>
            <w:r w:rsidRPr="005577A5">
              <w:rPr>
                <w:rFonts w:cstheme="minorHAnsi"/>
              </w:rPr>
              <w:t>7.4</w:t>
            </w:r>
            <w:r w:rsidR="0079795A">
              <w:rPr>
                <w:rFonts w:cstheme="minorHAnsi"/>
              </w:rPr>
              <w:t>–</w:t>
            </w:r>
            <w:r w:rsidRPr="005577A5">
              <w:rPr>
                <w:rFonts w:cstheme="minorHAnsi"/>
              </w:rPr>
              <w:t>8.1</w:t>
            </w:r>
          </w:p>
        </w:tc>
        <w:tc>
          <w:tcPr>
            <w:tcW w:w="507" w:type="pct"/>
            <w:shd w:val="clear" w:color="auto" w:fill="auto"/>
          </w:tcPr>
          <w:p w14:paraId="4E043074" w14:textId="77777777" w:rsidR="002604E9" w:rsidRPr="005577A5" w:rsidRDefault="00F039DE" w:rsidP="00387CB9">
            <w:pPr>
              <w:pStyle w:val="TableText"/>
              <w:rPr>
                <w:rFonts w:cstheme="minorHAnsi"/>
              </w:rPr>
            </w:pPr>
            <w:r w:rsidRPr="005577A5">
              <w:rPr>
                <w:rFonts w:cstheme="minorHAnsi"/>
              </w:rPr>
              <w:t>44</w:t>
            </w:r>
            <w:r w:rsidR="007F72A8">
              <w:rPr>
                <w:rFonts w:cstheme="minorHAnsi"/>
              </w:rPr>
              <w:t> </w:t>
            </w:r>
            <w:r w:rsidRPr="005577A5">
              <w:rPr>
                <w:rFonts w:cstheme="minorHAnsi"/>
              </w:rPr>
              <w:t>500</w:t>
            </w:r>
          </w:p>
        </w:tc>
        <w:tc>
          <w:tcPr>
            <w:tcW w:w="545" w:type="pct"/>
            <w:shd w:val="clear" w:color="auto" w:fill="auto"/>
          </w:tcPr>
          <w:p w14:paraId="4E043075" w14:textId="77777777" w:rsidR="002604E9" w:rsidRPr="005577A5" w:rsidRDefault="00F039DE" w:rsidP="00387CB9">
            <w:pPr>
              <w:pStyle w:val="TableText"/>
              <w:rPr>
                <w:rFonts w:cstheme="minorHAnsi"/>
                <w:highlight w:val="yellow"/>
              </w:rPr>
            </w:pPr>
            <w:r w:rsidRPr="005577A5">
              <w:rPr>
                <w:rFonts w:cstheme="minorHAnsi"/>
              </w:rPr>
              <w:t xml:space="preserve">Mayes </w:t>
            </w:r>
            <w:r w:rsidR="001254B2">
              <w:rPr>
                <w:rFonts w:cstheme="minorHAnsi"/>
              </w:rPr>
              <w:t>&amp;</w:t>
            </w:r>
            <w:r w:rsidRPr="005577A5">
              <w:rPr>
                <w:rFonts w:cstheme="minorHAnsi"/>
              </w:rPr>
              <w:t xml:space="preserve"> Dill 1984</w:t>
            </w:r>
          </w:p>
        </w:tc>
      </w:tr>
      <w:tr w:rsidR="00690C51" w14:paraId="4E04307B" w14:textId="77777777" w:rsidTr="0031060C">
        <w:trPr>
          <w:cantSplit/>
        </w:trPr>
        <w:tc>
          <w:tcPr>
            <w:tcW w:w="405" w:type="pct"/>
            <w:vMerge/>
            <w:shd w:val="clear" w:color="auto" w:fill="auto"/>
          </w:tcPr>
          <w:p w14:paraId="4E043077" w14:textId="77777777" w:rsidR="002604E9" w:rsidRPr="005D54AD" w:rsidRDefault="002604E9" w:rsidP="00387CB9">
            <w:pPr>
              <w:pStyle w:val="TableText"/>
              <w:rPr>
                <w:rFonts w:cstheme="minorHAnsi"/>
                <w:highlight w:val="yellow"/>
              </w:rPr>
            </w:pPr>
          </w:p>
        </w:tc>
        <w:tc>
          <w:tcPr>
            <w:tcW w:w="3543" w:type="pct"/>
            <w:gridSpan w:val="9"/>
            <w:tcBorders>
              <w:top w:val="nil"/>
            </w:tcBorders>
            <w:shd w:val="clear" w:color="auto" w:fill="auto"/>
          </w:tcPr>
          <w:p w14:paraId="4E043078" w14:textId="77777777" w:rsidR="002604E9" w:rsidRPr="005577A5" w:rsidRDefault="00F039DE" w:rsidP="00387CB9">
            <w:pPr>
              <w:pStyle w:val="TableText"/>
              <w:rPr>
                <w:rFonts w:cstheme="minorHAnsi"/>
              </w:rPr>
            </w:pPr>
            <w:r>
              <w:rPr>
                <w:rFonts w:cstheme="minorHAnsi"/>
              </w:rPr>
              <w:t>–</w:t>
            </w:r>
          </w:p>
        </w:tc>
        <w:tc>
          <w:tcPr>
            <w:tcW w:w="507" w:type="pct"/>
            <w:shd w:val="clear" w:color="auto" w:fill="auto"/>
          </w:tcPr>
          <w:p w14:paraId="4E043079" w14:textId="77777777" w:rsidR="002604E9" w:rsidRPr="00B03C38" w:rsidRDefault="00F039DE" w:rsidP="00387CB9">
            <w:pPr>
              <w:pStyle w:val="TableText"/>
              <w:rPr>
                <w:rFonts w:cstheme="minorHAnsi"/>
              </w:rPr>
            </w:pPr>
            <w:r w:rsidRPr="00B03C38">
              <w:rPr>
                <w:rFonts w:cstheme="minorHAnsi"/>
              </w:rPr>
              <w:t>22</w:t>
            </w:r>
            <w:r w:rsidR="007F72A8">
              <w:rPr>
                <w:rFonts w:cstheme="minorHAnsi"/>
              </w:rPr>
              <w:t> </w:t>
            </w:r>
            <w:r w:rsidRPr="00B03C38">
              <w:rPr>
                <w:rFonts w:cstheme="minorHAnsi"/>
              </w:rPr>
              <w:t xml:space="preserve">260 </w:t>
            </w:r>
            <w:r w:rsidRPr="00822D99">
              <w:rPr>
                <w:rStyle w:val="Strong"/>
                <w:vertAlign w:val="superscript"/>
              </w:rPr>
              <w:t>c</w:t>
            </w:r>
          </w:p>
        </w:tc>
        <w:tc>
          <w:tcPr>
            <w:tcW w:w="545" w:type="pct"/>
            <w:shd w:val="clear" w:color="auto" w:fill="auto"/>
          </w:tcPr>
          <w:p w14:paraId="4E04307A" w14:textId="77777777" w:rsidR="002604E9" w:rsidRPr="00971596" w:rsidRDefault="00F039DE" w:rsidP="00387CB9">
            <w:pPr>
              <w:pStyle w:val="TableText"/>
              <w:rPr>
                <w:rFonts w:cstheme="minorHAnsi"/>
                <w:b/>
                <w:bCs/>
              </w:rPr>
            </w:pPr>
            <w:r w:rsidRPr="00971596">
              <w:rPr>
                <w:rFonts w:cstheme="minorHAnsi"/>
                <w:b/>
                <w:bCs/>
              </w:rPr>
              <w:t>Geometric mean</w:t>
            </w:r>
          </w:p>
        </w:tc>
      </w:tr>
      <w:tr w:rsidR="00690C51" w14:paraId="4E043088" w14:textId="77777777" w:rsidTr="0031060C">
        <w:trPr>
          <w:cantSplit/>
        </w:trPr>
        <w:tc>
          <w:tcPr>
            <w:tcW w:w="405" w:type="pct"/>
            <w:vMerge/>
            <w:shd w:val="clear" w:color="auto" w:fill="auto"/>
          </w:tcPr>
          <w:p w14:paraId="4E04307C" w14:textId="77777777" w:rsidR="00DD05D6" w:rsidRPr="005D54AD" w:rsidRDefault="00DD05D6" w:rsidP="00387CB9">
            <w:pPr>
              <w:pStyle w:val="TableText"/>
              <w:rPr>
                <w:rFonts w:cstheme="minorHAnsi"/>
                <w:highlight w:val="yellow"/>
              </w:rPr>
            </w:pPr>
          </w:p>
        </w:tc>
        <w:tc>
          <w:tcPr>
            <w:tcW w:w="506" w:type="pct"/>
            <w:vMerge w:val="restart"/>
            <w:shd w:val="clear" w:color="auto" w:fill="auto"/>
          </w:tcPr>
          <w:p w14:paraId="4E04307D" w14:textId="77777777" w:rsidR="00DD05D6" w:rsidRPr="00C25395" w:rsidRDefault="00F039DE" w:rsidP="00387CB9">
            <w:pPr>
              <w:pStyle w:val="TableText"/>
              <w:rPr>
                <w:rFonts w:cstheme="minorHAnsi"/>
                <w:i/>
                <w:highlight w:val="yellow"/>
              </w:rPr>
            </w:pPr>
            <w:r w:rsidRPr="00C25395">
              <w:rPr>
                <w:rFonts w:cstheme="minorHAnsi"/>
                <w:i/>
              </w:rPr>
              <w:t>Pimephales promelas</w:t>
            </w:r>
          </w:p>
        </w:tc>
        <w:tc>
          <w:tcPr>
            <w:tcW w:w="303" w:type="pct"/>
            <w:shd w:val="clear" w:color="auto" w:fill="auto"/>
          </w:tcPr>
          <w:p w14:paraId="4E04307E" w14:textId="77777777" w:rsidR="00DD05D6" w:rsidRPr="005D54AD" w:rsidRDefault="00F039DE" w:rsidP="00387CB9">
            <w:pPr>
              <w:pStyle w:val="TableText"/>
              <w:rPr>
                <w:rFonts w:cstheme="minorHAnsi"/>
                <w:highlight w:val="yellow"/>
              </w:rPr>
            </w:pPr>
            <w:r w:rsidRPr="00C25395">
              <w:rPr>
                <w:rFonts w:cstheme="minorHAnsi"/>
              </w:rPr>
              <w:t>Juvenile</w:t>
            </w:r>
          </w:p>
        </w:tc>
        <w:tc>
          <w:tcPr>
            <w:tcW w:w="405" w:type="pct"/>
            <w:shd w:val="clear" w:color="auto" w:fill="auto"/>
          </w:tcPr>
          <w:p w14:paraId="4E04307F" w14:textId="77777777" w:rsidR="00DD05D6" w:rsidRPr="005D54AD" w:rsidRDefault="00F039DE" w:rsidP="00387CB9">
            <w:pPr>
              <w:pStyle w:val="TableText"/>
              <w:rPr>
                <w:rFonts w:cstheme="minorHAnsi"/>
                <w:highlight w:val="yellow"/>
              </w:rPr>
            </w:pPr>
            <w:r w:rsidRPr="005D54AD">
              <w:rPr>
                <w:rFonts w:cstheme="minorHAnsi"/>
              </w:rPr>
              <w:t>96</w:t>
            </w:r>
          </w:p>
        </w:tc>
        <w:tc>
          <w:tcPr>
            <w:tcW w:w="304" w:type="pct"/>
            <w:shd w:val="clear" w:color="auto" w:fill="auto"/>
          </w:tcPr>
          <w:p w14:paraId="4E043080" w14:textId="77777777" w:rsidR="00DD05D6" w:rsidRPr="005D54AD" w:rsidRDefault="00F039DE" w:rsidP="00387CB9">
            <w:pPr>
              <w:pStyle w:val="TableText"/>
              <w:rPr>
                <w:rFonts w:cstheme="minorHAnsi"/>
                <w:highlight w:val="yellow"/>
              </w:rPr>
            </w:pPr>
            <w:r w:rsidRPr="005D54AD">
              <w:rPr>
                <w:rFonts w:cstheme="minorHAnsi"/>
              </w:rPr>
              <w:t>Acute</w:t>
            </w:r>
          </w:p>
        </w:tc>
        <w:tc>
          <w:tcPr>
            <w:tcW w:w="607" w:type="pct"/>
            <w:shd w:val="clear" w:color="auto" w:fill="auto"/>
          </w:tcPr>
          <w:p w14:paraId="4E043081" w14:textId="77777777" w:rsidR="00DD05D6" w:rsidRPr="005577A5" w:rsidRDefault="00F039DE" w:rsidP="00387CB9">
            <w:pPr>
              <w:pStyle w:val="TableText"/>
              <w:rPr>
                <w:rFonts w:cstheme="minorHAnsi"/>
                <w:highlight w:val="yellow"/>
              </w:rPr>
            </w:pPr>
            <w:r w:rsidRPr="005577A5">
              <w:rPr>
                <w:rFonts w:cstheme="minorHAnsi"/>
              </w:rPr>
              <w:t>LC50 (Survival)</w:t>
            </w:r>
          </w:p>
        </w:tc>
        <w:tc>
          <w:tcPr>
            <w:tcW w:w="456" w:type="pct"/>
            <w:shd w:val="clear" w:color="auto" w:fill="auto"/>
          </w:tcPr>
          <w:p w14:paraId="4E043082" w14:textId="77777777" w:rsidR="00DD05D6" w:rsidRPr="005577A5" w:rsidRDefault="00F039DE" w:rsidP="00387CB9">
            <w:pPr>
              <w:pStyle w:val="TableText"/>
              <w:rPr>
                <w:rFonts w:cstheme="minorHAnsi"/>
                <w:highlight w:val="yellow"/>
              </w:rPr>
            </w:pPr>
            <w:r w:rsidRPr="005577A5">
              <w:rPr>
                <w:rFonts w:cstheme="minorHAnsi"/>
              </w:rPr>
              <w:t>Treated lake water</w:t>
            </w:r>
          </w:p>
        </w:tc>
        <w:tc>
          <w:tcPr>
            <w:tcW w:w="355" w:type="pct"/>
            <w:shd w:val="clear" w:color="auto" w:fill="auto"/>
          </w:tcPr>
          <w:p w14:paraId="4E043083" w14:textId="77777777" w:rsidR="00DD05D6" w:rsidRPr="005577A5" w:rsidRDefault="00F039DE" w:rsidP="00387CB9">
            <w:pPr>
              <w:pStyle w:val="TableText"/>
              <w:rPr>
                <w:rFonts w:cstheme="minorHAnsi"/>
              </w:rPr>
            </w:pPr>
            <w:r w:rsidRPr="005577A5">
              <w:rPr>
                <w:rFonts w:cstheme="minorHAnsi"/>
              </w:rPr>
              <w:t>17</w:t>
            </w:r>
            <w:r w:rsidR="0079795A">
              <w:rPr>
                <w:rFonts w:cstheme="minorHAnsi"/>
              </w:rPr>
              <w:t>–</w:t>
            </w:r>
            <w:r w:rsidRPr="005577A5">
              <w:rPr>
                <w:rFonts w:cstheme="minorHAnsi"/>
              </w:rPr>
              <w:t>17.4</w:t>
            </w:r>
          </w:p>
        </w:tc>
        <w:tc>
          <w:tcPr>
            <w:tcW w:w="304" w:type="pct"/>
            <w:shd w:val="clear" w:color="auto" w:fill="auto"/>
          </w:tcPr>
          <w:p w14:paraId="4E043084" w14:textId="77777777" w:rsidR="00DD05D6" w:rsidRPr="005577A5" w:rsidRDefault="00F039DE" w:rsidP="00387CB9">
            <w:pPr>
              <w:pStyle w:val="TableText"/>
              <w:rPr>
                <w:rFonts w:cstheme="minorHAnsi"/>
              </w:rPr>
            </w:pPr>
            <w:r>
              <w:rPr>
                <w:rFonts w:cstheme="minorHAnsi"/>
              </w:rPr>
              <w:t>–</w:t>
            </w:r>
          </w:p>
        </w:tc>
        <w:tc>
          <w:tcPr>
            <w:tcW w:w="303" w:type="pct"/>
            <w:shd w:val="clear" w:color="auto" w:fill="auto"/>
          </w:tcPr>
          <w:p w14:paraId="4E043085" w14:textId="77777777" w:rsidR="00DD05D6" w:rsidRPr="005577A5" w:rsidRDefault="00F039DE" w:rsidP="00387CB9">
            <w:pPr>
              <w:pStyle w:val="TableText"/>
              <w:rPr>
                <w:rFonts w:cstheme="minorHAnsi"/>
              </w:rPr>
            </w:pPr>
            <w:r w:rsidRPr="005577A5">
              <w:rPr>
                <w:rFonts w:cstheme="minorHAnsi"/>
              </w:rPr>
              <w:t>7.2</w:t>
            </w:r>
            <w:r w:rsidR="00F56F7D">
              <w:rPr>
                <w:rFonts w:cstheme="minorHAnsi"/>
              </w:rPr>
              <w:t>–</w:t>
            </w:r>
            <w:r w:rsidRPr="005577A5">
              <w:rPr>
                <w:rFonts w:cstheme="minorHAnsi"/>
              </w:rPr>
              <w:t>8.0</w:t>
            </w:r>
          </w:p>
        </w:tc>
        <w:tc>
          <w:tcPr>
            <w:tcW w:w="507" w:type="pct"/>
            <w:shd w:val="clear" w:color="auto" w:fill="auto"/>
          </w:tcPr>
          <w:p w14:paraId="4E043086" w14:textId="77777777" w:rsidR="00DD05D6" w:rsidRPr="005577A5" w:rsidRDefault="00F039DE" w:rsidP="00387CB9">
            <w:pPr>
              <w:pStyle w:val="TableText"/>
              <w:rPr>
                <w:rFonts w:cstheme="minorHAnsi"/>
              </w:rPr>
            </w:pPr>
            <w:r w:rsidRPr="005577A5">
              <w:rPr>
                <w:rFonts w:cstheme="minorHAnsi"/>
              </w:rPr>
              <w:t>55</w:t>
            </w:r>
            <w:r w:rsidR="007F72A8">
              <w:rPr>
                <w:rFonts w:cstheme="minorHAnsi"/>
              </w:rPr>
              <w:t> </w:t>
            </w:r>
            <w:r w:rsidRPr="005577A5">
              <w:rPr>
                <w:rFonts w:cstheme="minorHAnsi"/>
              </w:rPr>
              <w:t>300</w:t>
            </w:r>
          </w:p>
        </w:tc>
        <w:tc>
          <w:tcPr>
            <w:tcW w:w="545" w:type="pct"/>
            <w:shd w:val="clear" w:color="auto" w:fill="auto"/>
          </w:tcPr>
          <w:p w14:paraId="4E043087" w14:textId="77777777" w:rsidR="00DD05D6" w:rsidRPr="005577A5" w:rsidRDefault="00F039DE" w:rsidP="00387CB9">
            <w:pPr>
              <w:pStyle w:val="TableText"/>
              <w:rPr>
                <w:rFonts w:cstheme="minorHAnsi"/>
              </w:rPr>
            </w:pPr>
            <w:r w:rsidRPr="005577A5">
              <w:rPr>
                <w:rFonts w:cstheme="minorHAnsi"/>
              </w:rPr>
              <w:t xml:space="preserve">Mayes </w:t>
            </w:r>
            <w:r w:rsidR="001254B2">
              <w:rPr>
                <w:rFonts w:cstheme="minorHAnsi"/>
              </w:rPr>
              <w:t>&amp;</w:t>
            </w:r>
            <w:r w:rsidRPr="005577A5">
              <w:rPr>
                <w:rFonts w:cstheme="minorHAnsi"/>
              </w:rPr>
              <w:t xml:space="preserve"> Dill 1984</w:t>
            </w:r>
          </w:p>
        </w:tc>
      </w:tr>
      <w:tr w:rsidR="00690C51" w14:paraId="4E043095" w14:textId="77777777" w:rsidTr="0031060C">
        <w:trPr>
          <w:cantSplit/>
        </w:trPr>
        <w:tc>
          <w:tcPr>
            <w:tcW w:w="405" w:type="pct"/>
            <w:vMerge/>
            <w:shd w:val="clear" w:color="auto" w:fill="auto"/>
          </w:tcPr>
          <w:p w14:paraId="4E043089" w14:textId="77777777" w:rsidR="00DD05D6" w:rsidRPr="005D54AD" w:rsidRDefault="00DD05D6" w:rsidP="00387CB9">
            <w:pPr>
              <w:pStyle w:val="TableText"/>
              <w:rPr>
                <w:rFonts w:cstheme="minorHAnsi"/>
                <w:highlight w:val="yellow"/>
              </w:rPr>
            </w:pPr>
          </w:p>
        </w:tc>
        <w:tc>
          <w:tcPr>
            <w:tcW w:w="506" w:type="pct"/>
            <w:vMerge/>
            <w:tcBorders>
              <w:bottom w:val="nil"/>
            </w:tcBorders>
            <w:shd w:val="clear" w:color="auto" w:fill="auto"/>
          </w:tcPr>
          <w:p w14:paraId="4E04308A" w14:textId="77777777" w:rsidR="00DD05D6" w:rsidRPr="00C25395" w:rsidRDefault="00DD05D6" w:rsidP="00387CB9">
            <w:pPr>
              <w:pStyle w:val="TableText"/>
              <w:rPr>
                <w:rFonts w:cstheme="minorHAnsi"/>
                <w:i/>
              </w:rPr>
            </w:pPr>
          </w:p>
        </w:tc>
        <w:tc>
          <w:tcPr>
            <w:tcW w:w="303" w:type="pct"/>
            <w:tcBorders>
              <w:bottom w:val="nil"/>
            </w:tcBorders>
            <w:shd w:val="clear" w:color="auto" w:fill="auto"/>
          </w:tcPr>
          <w:p w14:paraId="4E04308B" w14:textId="77777777" w:rsidR="00DD05D6" w:rsidRPr="005D54AD" w:rsidRDefault="00F039DE" w:rsidP="00387CB9">
            <w:pPr>
              <w:pStyle w:val="TableText"/>
              <w:rPr>
                <w:rFonts w:cstheme="minorHAnsi"/>
              </w:rPr>
            </w:pPr>
            <w:r w:rsidRPr="00C25395">
              <w:rPr>
                <w:rFonts w:cstheme="minorHAnsi"/>
              </w:rPr>
              <w:t>J</w:t>
            </w:r>
            <w:r w:rsidRPr="005D54AD">
              <w:rPr>
                <w:rFonts w:cstheme="minorHAnsi"/>
              </w:rPr>
              <w:t>uvenile</w:t>
            </w:r>
          </w:p>
        </w:tc>
        <w:tc>
          <w:tcPr>
            <w:tcW w:w="405" w:type="pct"/>
            <w:tcBorders>
              <w:bottom w:val="nil"/>
            </w:tcBorders>
            <w:shd w:val="clear" w:color="auto" w:fill="auto"/>
          </w:tcPr>
          <w:p w14:paraId="4E04308C" w14:textId="77777777" w:rsidR="00DD05D6" w:rsidRPr="005D54AD" w:rsidRDefault="00F039DE" w:rsidP="00387CB9">
            <w:pPr>
              <w:pStyle w:val="TableText"/>
              <w:rPr>
                <w:rFonts w:cstheme="minorHAnsi"/>
              </w:rPr>
            </w:pPr>
            <w:r w:rsidRPr="005D54AD">
              <w:rPr>
                <w:rFonts w:cstheme="minorHAnsi"/>
              </w:rPr>
              <w:t>96</w:t>
            </w:r>
          </w:p>
        </w:tc>
        <w:tc>
          <w:tcPr>
            <w:tcW w:w="304" w:type="pct"/>
            <w:tcBorders>
              <w:bottom w:val="nil"/>
            </w:tcBorders>
            <w:shd w:val="clear" w:color="auto" w:fill="auto"/>
          </w:tcPr>
          <w:p w14:paraId="4E04308D" w14:textId="77777777" w:rsidR="00DD05D6" w:rsidRPr="005D54AD" w:rsidRDefault="00F039DE" w:rsidP="00387CB9">
            <w:pPr>
              <w:pStyle w:val="TableText"/>
              <w:rPr>
                <w:rFonts w:cstheme="minorHAnsi"/>
              </w:rPr>
            </w:pPr>
            <w:r w:rsidRPr="005D54AD">
              <w:rPr>
                <w:rFonts w:cstheme="minorHAnsi"/>
              </w:rPr>
              <w:t>Acute</w:t>
            </w:r>
          </w:p>
        </w:tc>
        <w:tc>
          <w:tcPr>
            <w:tcW w:w="607" w:type="pct"/>
            <w:tcBorders>
              <w:bottom w:val="nil"/>
            </w:tcBorders>
            <w:shd w:val="clear" w:color="auto" w:fill="auto"/>
          </w:tcPr>
          <w:p w14:paraId="4E04308E" w14:textId="77777777" w:rsidR="00DD05D6" w:rsidRPr="005577A5" w:rsidRDefault="00F039DE" w:rsidP="00387CB9">
            <w:pPr>
              <w:pStyle w:val="TableText"/>
              <w:rPr>
                <w:rFonts w:cstheme="minorHAnsi"/>
                <w:highlight w:val="yellow"/>
              </w:rPr>
            </w:pPr>
            <w:r w:rsidRPr="005577A5">
              <w:rPr>
                <w:rFonts w:cstheme="minorHAnsi"/>
              </w:rPr>
              <w:t>LC50 (Survival)</w:t>
            </w:r>
          </w:p>
        </w:tc>
        <w:tc>
          <w:tcPr>
            <w:tcW w:w="456" w:type="pct"/>
            <w:tcBorders>
              <w:bottom w:val="nil"/>
            </w:tcBorders>
            <w:shd w:val="clear" w:color="auto" w:fill="auto"/>
          </w:tcPr>
          <w:p w14:paraId="4E04308F" w14:textId="77777777" w:rsidR="00DD05D6" w:rsidRPr="005577A5" w:rsidRDefault="00F039DE" w:rsidP="00387CB9">
            <w:pPr>
              <w:pStyle w:val="TableText"/>
              <w:rPr>
                <w:rFonts w:cstheme="minorHAnsi"/>
                <w:highlight w:val="yellow"/>
              </w:rPr>
            </w:pPr>
            <w:r>
              <w:rPr>
                <w:rFonts w:cstheme="minorHAnsi"/>
              </w:rPr>
              <w:t>–</w:t>
            </w:r>
          </w:p>
        </w:tc>
        <w:tc>
          <w:tcPr>
            <w:tcW w:w="355" w:type="pct"/>
            <w:tcBorders>
              <w:bottom w:val="nil"/>
            </w:tcBorders>
            <w:shd w:val="clear" w:color="auto" w:fill="auto"/>
          </w:tcPr>
          <w:p w14:paraId="4E043090" w14:textId="77777777" w:rsidR="00DD05D6" w:rsidRPr="005577A5" w:rsidRDefault="00F039DE" w:rsidP="00387CB9">
            <w:pPr>
              <w:pStyle w:val="TableText"/>
              <w:rPr>
                <w:rFonts w:cstheme="minorHAnsi"/>
                <w:highlight w:val="yellow"/>
              </w:rPr>
            </w:pPr>
            <w:r>
              <w:rPr>
                <w:rFonts w:cstheme="minorHAnsi"/>
              </w:rPr>
              <w:t>–</w:t>
            </w:r>
          </w:p>
        </w:tc>
        <w:tc>
          <w:tcPr>
            <w:tcW w:w="304" w:type="pct"/>
            <w:tcBorders>
              <w:bottom w:val="nil"/>
            </w:tcBorders>
            <w:shd w:val="clear" w:color="auto" w:fill="auto"/>
          </w:tcPr>
          <w:p w14:paraId="4E043091" w14:textId="77777777" w:rsidR="00DD05D6" w:rsidRPr="005577A5" w:rsidRDefault="00F039DE" w:rsidP="00387CB9">
            <w:pPr>
              <w:pStyle w:val="TableText"/>
              <w:rPr>
                <w:rFonts w:cstheme="minorHAnsi"/>
                <w:highlight w:val="yellow"/>
              </w:rPr>
            </w:pPr>
            <w:r>
              <w:rPr>
                <w:rFonts w:cstheme="minorHAnsi"/>
              </w:rPr>
              <w:t>–</w:t>
            </w:r>
          </w:p>
        </w:tc>
        <w:tc>
          <w:tcPr>
            <w:tcW w:w="303" w:type="pct"/>
            <w:tcBorders>
              <w:bottom w:val="nil"/>
            </w:tcBorders>
            <w:shd w:val="clear" w:color="auto" w:fill="auto"/>
          </w:tcPr>
          <w:p w14:paraId="4E043092" w14:textId="77777777" w:rsidR="00DD05D6" w:rsidRPr="005577A5" w:rsidRDefault="00F039DE" w:rsidP="00387CB9">
            <w:pPr>
              <w:pStyle w:val="TableText"/>
              <w:rPr>
                <w:rFonts w:cstheme="minorHAnsi"/>
                <w:highlight w:val="yellow"/>
              </w:rPr>
            </w:pPr>
            <w:r>
              <w:rPr>
                <w:rFonts w:cstheme="minorHAnsi"/>
              </w:rPr>
              <w:t>–</w:t>
            </w:r>
          </w:p>
        </w:tc>
        <w:tc>
          <w:tcPr>
            <w:tcW w:w="507" w:type="pct"/>
            <w:tcBorders>
              <w:bottom w:val="single" w:sz="4" w:space="0" w:color="auto"/>
            </w:tcBorders>
            <w:shd w:val="clear" w:color="auto" w:fill="auto"/>
          </w:tcPr>
          <w:p w14:paraId="4E043093" w14:textId="77777777" w:rsidR="00DD05D6" w:rsidRPr="005577A5" w:rsidRDefault="00F039DE" w:rsidP="00387CB9">
            <w:pPr>
              <w:pStyle w:val="TableText"/>
              <w:rPr>
                <w:rFonts w:cstheme="minorHAnsi"/>
                <w:highlight w:val="yellow"/>
              </w:rPr>
            </w:pPr>
            <w:r w:rsidRPr="005577A5">
              <w:rPr>
                <w:rFonts w:cstheme="minorHAnsi"/>
              </w:rPr>
              <w:t>55</w:t>
            </w:r>
            <w:r w:rsidR="007F72A8">
              <w:rPr>
                <w:rFonts w:cstheme="minorHAnsi"/>
              </w:rPr>
              <w:t> </w:t>
            </w:r>
            <w:r w:rsidRPr="005577A5">
              <w:rPr>
                <w:rFonts w:cstheme="minorHAnsi"/>
              </w:rPr>
              <w:t>300</w:t>
            </w:r>
          </w:p>
        </w:tc>
        <w:tc>
          <w:tcPr>
            <w:tcW w:w="545" w:type="pct"/>
            <w:tcBorders>
              <w:bottom w:val="single" w:sz="4" w:space="0" w:color="auto"/>
            </w:tcBorders>
            <w:shd w:val="clear" w:color="auto" w:fill="auto"/>
          </w:tcPr>
          <w:p w14:paraId="4E043094" w14:textId="77777777" w:rsidR="00DD05D6" w:rsidRPr="005577A5" w:rsidRDefault="00F039DE" w:rsidP="00387CB9">
            <w:pPr>
              <w:pStyle w:val="TableText"/>
              <w:rPr>
                <w:rFonts w:cstheme="minorHAnsi"/>
                <w:highlight w:val="yellow"/>
              </w:rPr>
            </w:pPr>
            <w:r>
              <w:rPr>
                <w:rFonts w:cstheme="minorHAnsi"/>
              </w:rPr>
              <w:t xml:space="preserve">USEPA </w:t>
            </w:r>
            <w:r w:rsidRPr="005577A5">
              <w:rPr>
                <w:rFonts w:cstheme="minorHAnsi"/>
              </w:rPr>
              <w:t>OPP 2019</w:t>
            </w:r>
          </w:p>
        </w:tc>
      </w:tr>
      <w:tr w:rsidR="00690C51" w14:paraId="4E04309A" w14:textId="77777777" w:rsidTr="0031060C">
        <w:trPr>
          <w:cantSplit/>
          <w:trHeight w:val="235"/>
        </w:trPr>
        <w:tc>
          <w:tcPr>
            <w:tcW w:w="405" w:type="pct"/>
            <w:vMerge/>
            <w:tcBorders>
              <w:bottom w:val="single" w:sz="12" w:space="0" w:color="auto"/>
            </w:tcBorders>
            <w:shd w:val="clear" w:color="auto" w:fill="auto"/>
          </w:tcPr>
          <w:p w14:paraId="4E043096" w14:textId="77777777" w:rsidR="00DD05D6" w:rsidRPr="005D54AD" w:rsidRDefault="00DD05D6" w:rsidP="00387CB9">
            <w:pPr>
              <w:pStyle w:val="TableText"/>
              <w:rPr>
                <w:rFonts w:cstheme="minorHAnsi"/>
                <w:highlight w:val="yellow"/>
              </w:rPr>
            </w:pPr>
          </w:p>
        </w:tc>
        <w:tc>
          <w:tcPr>
            <w:tcW w:w="3543" w:type="pct"/>
            <w:gridSpan w:val="9"/>
            <w:tcBorders>
              <w:top w:val="nil"/>
              <w:bottom w:val="single" w:sz="12" w:space="0" w:color="auto"/>
            </w:tcBorders>
            <w:shd w:val="clear" w:color="auto" w:fill="auto"/>
          </w:tcPr>
          <w:p w14:paraId="4E043097" w14:textId="77777777" w:rsidR="00DD05D6" w:rsidRPr="005577A5" w:rsidRDefault="00F039DE" w:rsidP="00387CB9">
            <w:pPr>
              <w:pStyle w:val="TableText"/>
              <w:rPr>
                <w:rFonts w:cstheme="minorHAnsi"/>
              </w:rPr>
            </w:pPr>
            <w:r>
              <w:rPr>
                <w:rFonts w:cstheme="minorHAnsi"/>
              </w:rPr>
              <w:t>–</w:t>
            </w:r>
          </w:p>
        </w:tc>
        <w:tc>
          <w:tcPr>
            <w:tcW w:w="507" w:type="pct"/>
            <w:tcBorders>
              <w:bottom w:val="single" w:sz="12" w:space="0" w:color="auto"/>
            </w:tcBorders>
            <w:shd w:val="clear" w:color="auto" w:fill="auto"/>
          </w:tcPr>
          <w:p w14:paraId="4E043098" w14:textId="77777777" w:rsidR="00DD05D6" w:rsidRPr="00B03C38" w:rsidRDefault="00F039DE" w:rsidP="00387CB9">
            <w:pPr>
              <w:pStyle w:val="TableText"/>
              <w:rPr>
                <w:rFonts w:cstheme="minorHAnsi"/>
              </w:rPr>
            </w:pPr>
            <w:r w:rsidRPr="00B03C38">
              <w:rPr>
                <w:rFonts w:cstheme="minorHAnsi"/>
              </w:rPr>
              <w:t>55</w:t>
            </w:r>
            <w:r w:rsidR="007F72A8">
              <w:rPr>
                <w:rFonts w:cstheme="minorHAnsi"/>
              </w:rPr>
              <w:t> </w:t>
            </w:r>
            <w:r w:rsidRPr="00B03C38">
              <w:rPr>
                <w:rFonts w:cstheme="minorHAnsi"/>
              </w:rPr>
              <w:t xml:space="preserve">300 </w:t>
            </w:r>
            <w:r w:rsidRPr="00822D99">
              <w:rPr>
                <w:rStyle w:val="Strong"/>
                <w:vertAlign w:val="superscript"/>
              </w:rPr>
              <w:t>c</w:t>
            </w:r>
          </w:p>
        </w:tc>
        <w:tc>
          <w:tcPr>
            <w:tcW w:w="545" w:type="pct"/>
            <w:tcBorders>
              <w:bottom w:val="single" w:sz="12" w:space="0" w:color="auto"/>
            </w:tcBorders>
            <w:shd w:val="clear" w:color="auto" w:fill="auto"/>
          </w:tcPr>
          <w:p w14:paraId="4E043099" w14:textId="77777777" w:rsidR="00DD05D6" w:rsidRPr="00971596" w:rsidRDefault="00F039DE" w:rsidP="00387CB9">
            <w:pPr>
              <w:pStyle w:val="TableText"/>
              <w:rPr>
                <w:rFonts w:cstheme="minorHAnsi"/>
                <w:b/>
                <w:bCs/>
              </w:rPr>
            </w:pPr>
            <w:r w:rsidRPr="00971596">
              <w:rPr>
                <w:rFonts w:cstheme="minorHAnsi"/>
                <w:b/>
                <w:bCs/>
              </w:rPr>
              <w:t>Geometric mean</w:t>
            </w:r>
          </w:p>
        </w:tc>
      </w:tr>
    </w:tbl>
    <w:p w14:paraId="4E04309B" w14:textId="77777777" w:rsidR="00201048" w:rsidRPr="00387CB9" w:rsidRDefault="00F039DE" w:rsidP="00387CB9">
      <w:pPr>
        <w:pStyle w:val="FigureTableNoteSource"/>
      </w:pPr>
      <w:bookmarkStart w:id="27" w:name="_Toc12215877"/>
      <w:bookmarkStart w:id="28" w:name="_Toc22904495"/>
      <w:bookmarkStart w:id="29" w:name="_Toc29293052"/>
      <w:r w:rsidRPr="00117510">
        <w:rPr>
          <w:rStyle w:val="Strong"/>
        </w:rPr>
        <w:t>a</w:t>
      </w:r>
      <w:r w:rsidR="005573F0" w:rsidRPr="00387CB9">
        <w:t xml:space="preserve"> </w:t>
      </w:r>
      <w:r w:rsidRPr="00387CB9">
        <w:t xml:space="preserve">The measure of toxicity being estimated/determined: NOEC: </w:t>
      </w:r>
      <w:r w:rsidR="00C21513">
        <w:t>n</w:t>
      </w:r>
      <w:r w:rsidRPr="00387CB9">
        <w:t>o observed effect concentration; L</w:t>
      </w:r>
      <w:r w:rsidR="00BB663D" w:rsidRPr="00387CB9">
        <w:t>C50</w:t>
      </w:r>
      <w:r w:rsidRPr="00387CB9">
        <w:t xml:space="preserve">: </w:t>
      </w:r>
      <w:bookmarkEnd w:id="27"/>
      <w:r w:rsidR="00C21513" w:rsidRPr="00C21513">
        <w:t>median lethal concentration</w:t>
      </w:r>
      <w:bookmarkEnd w:id="28"/>
      <w:r w:rsidR="00844202" w:rsidRPr="00387CB9">
        <w:t>.</w:t>
      </w:r>
      <w:bookmarkEnd w:id="29"/>
    </w:p>
    <w:p w14:paraId="4E04309C" w14:textId="77777777" w:rsidR="00844202" w:rsidRPr="00387CB9" w:rsidRDefault="00F039DE" w:rsidP="00387CB9">
      <w:pPr>
        <w:pStyle w:val="FigureTableNoteSource"/>
      </w:pPr>
      <w:r w:rsidRPr="00117510">
        <w:rPr>
          <w:rStyle w:val="Strong"/>
        </w:rPr>
        <w:t>b</w:t>
      </w:r>
      <w:r w:rsidRPr="00387CB9">
        <w:t xml:space="preserve"> Value</w:t>
      </w:r>
      <w:r w:rsidR="00DD1C12" w:rsidRPr="00387CB9">
        <w:t>, as reported,</w:t>
      </w:r>
      <w:r w:rsidRPr="00387CB9">
        <w:t xml:space="preserve"> </w:t>
      </w:r>
      <w:r w:rsidR="00DD1C12" w:rsidRPr="00387CB9">
        <w:t xml:space="preserve">included </w:t>
      </w:r>
      <w:r w:rsidRPr="00387CB9">
        <w:t xml:space="preserve">in the dataset to derive the </w:t>
      </w:r>
      <w:r w:rsidR="0056694F">
        <w:t>DGVs</w:t>
      </w:r>
      <w:r w:rsidRPr="00387CB9">
        <w:t>.</w:t>
      </w:r>
    </w:p>
    <w:p w14:paraId="4E04309D" w14:textId="77777777" w:rsidR="00FE7612" w:rsidRPr="00FE7612" w:rsidRDefault="00F039DE" w:rsidP="00183F4A">
      <w:pPr>
        <w:pStyle w:val="FigureTableNoteSource"/>
      </w:pPr>
      <w:r w:rsidRPr="00117510">
        <w:rPr>
          <w:rStyle w:val="Strong"/>
        </w:rPr>
        <w:t>c</w:t>
      </w:r>
      <w:r w:rsidRPr="00387CB9">
        <w:t xml:space="preserve"> Value</w:t>
      </w:r>
      <w:r w:rsidR="00DD1C12" w:rsidRPr="00387CB9">
        <w:t>, after application of a default acute</w:t>
      </w:r>
      <w:r w:rsidR="0027707E">
        <w:t>-</w:t>
      </w:r>
      <w:r w:rsidR="00DD1C12" w:rsidRPr="00387CB9">
        <w:t>to</w:t>
      </w:r>
      <w:r w:rsidR="0027707E">
        <w:t>-</w:t>
      </w:r>
      <w:r w:rsidR="00DD1C12" w:rsidRPr="00387CB9">
        <w:t>chronic conversion factor of 10,</w:t>
      </w:r>
      <w:r w:rsidRPr="00387CB9">
        <w:t xml:space="preserve"> </w:t>
      </w:r>
      <w:r w:rsidR="00DD1C12" w:rsidRPr="00387CB9">
        <w:t xml:space="preserve">included </w:t>
      </w:r>
      <w:r w:rsidRPr="00387CB9">
        <w:t xml:space="preserve">in the dataset to derive the </w:t>
      </w:r>
      <w:r w:rsidR="0056694F">
        <w:t>DGVs</w:t>
      </w:r>
      <w:r w:rsidRPr="00387CB9">
        <w:t xml:space="preserve">. </w:t>
      </w:r>
    </w:p>
    <w:p w14:paraId="4E04309E" w14:textId="77777777" w:rsidR="00201048" w:rsidRDefault="00201048" w:rsidP="00183F4A">
      <w:pPr>
        <w:pStyle w:val="FigureTableNoteSource"/>
        <w:rPr>
          <w:highlight w:val="yellow"/>
        </w:rPr>
      </w:pPr>
    </w:p>
    <w:p w14:paraId="4E04309F" w14:textId="77777777" w:rsidR="00365A3F" w:rsidRPr="00365A3F" w:rsidRDefault="00365A3F" w:rsidP="00365A3F">
      <w:pPr>
        <w:rPr>
          <w:highlight w:val="yellow"/>
        </w:rPr>
        <w:sectPr w:rsidR="00365A3F" w:rsidRPr="00365A3F" w:rsidSect="007336AC">
          <w:headerReference w:type="even" r:id="rId30"/>
          <w:headerReference w:type="default" r:id="rId31"/>
          <w:headerReference w:type="first" r:id="rId32"/>
          <w:footerReference w:type="first" r:id="rId33"/>
          <w:pgSz w:w="16838" w:h="11906" w:orient="landscape"/>
          <w:pgMar w:top="1418" w:right="1418" w:bottom="1418" w:left="1418" w:header="567" w:footer="283" w:gutter="0"/>
          <w:cols w:space="708"/>
          <w:docGrid w:linePitch="360"/>
        </w:sectPr>
      </w:pPr>
    </w:p>
    <w:p w14:paraId="4E0430A0" w14:textId="77777777" w:rsidR="00606A7B" w:rsidRPr="009B0059" w:rsidRDefault="00F039DE" w:rsidP="00606A7B">
      <w:pPr>
        <w:pStyle w:val="Heading2"/>
        <w:numPr>
          <w:ilvl w:val="0"/>
          <w:numId w:val="0"/>
        </w:numPr>
      </w:pPr>
      <w:bookmarkStart w:id="30" w:name="_Ref528068779"/>
      <w:bookmarkStart w:id="31" w:name="_Ref528068976"/>
      <w:bookmarkStart w:id="32" w:name="_Toc4498837"/>
      <w:bookmarkStart w:id="33" w:name="_Toc80543139"/>
      <w:bookmarkStart w:id="34" w:name="_Ref80692833"/>
      <w:r w:rsidRPr="009B0059">
        <w:lastRenderedPageBreak/>
        <w:t>Appendix</w:t>
      </w:r>
      <w:r w:rsidR="000173C9">
        <w:t> </w:t>
      </w:r>
      <w:r w:rsidRPr="009B0059">
        <w:t xml:space="preserve">B: </w:t>
      </w:r>
      <w:bookmarkEnd w:id="30"/>
      <w:bookmarkEnd w:id="31"/>
      <w:bookmarkEnd w:id="32"/>
      <w:r w:rsidR="00515821" w:rsidRPr="009B0059">
        <w:t xml:space="preserve">Modality assessment for </w:t>
      </w:r>
      <w:r w:rsidR="005D54AD">
        <w:t>Picloram</w:t>
      </w:r>
      <w:bookmarkEnd w:id="33"/>
      <w:bookmarkEnd w:id="34"/>
    </w:p>
    <w:p w14:paraId="4E0430A1" w14:textId="77777777" w:rsidR="004D64F0" w:rsidRPr="009B0059" w:rsidRDefault="00F039DE" w:rsidP="00A024EF">
      <w:r w:rsidRPr="009B0059">
        <w:t xml:space="preserve">A modality assessment was undertaken for </w:t>
      </w:r>
      <w:r w:rsidR="009B0059" w:rsidRPr="009B0059">
        <w:t>picloram</w:t>
      </w:r>
      <w:r w:rsidRPr="009B0059">
        <w:t xml:space="preserve"> according to the four questions stipulated in Warne</w:t>
      </w:r>
      <w:r w:rsidRPr="009B0059">
        <w:rPr>
          <w:i/>
        </w:rPr>
        <w:t xml:space="preserve"> </w:t>
      </w:r>
      <w:r w:rsidRPr="003906F0">
        <w:rPr>
          <w:iCs/>
        </w:rPr>
        <w:t>et al.</w:t>
      </w:r>
      <w:r w:rsidRPr="009B0059">
        <w:t xml:space="preserve"> (2018). These questions and their answers are listed below</w:t>
      </w:r>
      <w:r w:rsidR="003B2D10">
        <w:t>. It is important to note</w:t>
      </w:r>
      <w:r w:rsidR="00EC141C" w:rsidRPr="009B0059">
        <w:t xml:space="preserve"> that the small sample size of the dataset makes it is difficult to draw conclusions about modality</w:t>
      </w:r>
      <w:r w:rsidRPr="009B0059">
        <w:t>:</w:t>
      </w:r>
    </w:p>
    <w:p w14:paraId="4E0430A2" w14:textId="77777777" w:rsidR="004D64F0" w:rsidRPr="009B0059" w:rsidRDefault="00F039DE" w:rsidP="00A024EF">
      <w:pPr>
        <w:pStyle w:val="Heading5"/>
      </w:pPr>
      <w:r w:rsidRPr="009B0059">
        <w:t>Is there a specific mode of action that could result in taxa-specific sensitivity?</w:t>
      </w:r>
    </w:p>
    <w:p w14:paraId="4E0430A3" w14:textId="1C86219E" w:rsidR="004D64F0" w:rsidRPr="009B0059" w:rsidRDefault="00F039DE" w:rsidP="004D64F0">
      <w:pPr>
        <w:rPr>
          <w:rFonts w:cs="Times New Roman"/>
        </w:rPr>
      </w:pPr>
      <w:r w:rsidRPr="009B0059">
        <w:t>As discussed in Section</w:t>
      </w:r>
      <w:r w:rsidR="000173C9">
        <w:t> </w:t>
      </w:r>
      <w:r w:rsidR="000173C9">
        <w:fldChar w:fldCharType="begin"/>
      </w:r>
      <w:r w:rsidR="000173C9">
        <w:instrText xml:space="preserve"> REF _Ref80692750 \r \h </w:instrText>
      </w:r>
      <w:r w:rsidR="000173C9">
        <w:fldChar w:fldCharType="separate"/>
      </w:r>
      <w:r w:rsidR="006700C9">
        <w:t>1</w:t>
      </w:r>
      <w:r w:rsidR="000173C9">
        <w:fldChar w:fldCharType="end"/>
      </w:r>
      <w:r w:rsidRPr="009B0059">
        <w:t>,</w:t>
      </w:r>
      <w:r w:rsidR="0039051D" w:rsidRPr="009B0059">
        <w:t xml:space="preserve"> </w:t>
      </w:r>
      <w:r w:rsidR="001914E3" w:rsidRPr="009B0059">
        <w:rPr>
          <w:rFonts w:cs="Times New Roman"/>
        </w:rPr>
        <w:t xml:space="preserve">the </w:t>
      </w:r>
      <w:r w:rsidR="009B0059" w:rsidRPr="009B0059">
        <w:rPr>
          <w:rFonts w:cs="Times New Roman"/>
        </w:rPr>
        <w:t xml:space="preserve">mode of action for picloram is as a synthetic growth hormone or auxinic, mimicking the plant growth hormone indole acetic acid </w:t>
      </w:r>
      <w:r w:rsidR="003B2D10">
        <w:rPr>
          <w:rFonts w:cs="Times New Roman"/>
        </w:rPr>
        <w:t xml:space="preserve">and </w:t>
      </w:r>
      <w:r w:rsidR="009B0059" w:rsidRPr="009B0059">
        <w:rPr>
          <w:rFonts w:cs="Times New Roman"/>
        </w:rPr>
        <w:t>causing un</w:t>
      </w:r>
      <w:r w:rsidR="003B2D10">
        <w:rPr>
          <w:rFonts w:cs="Times New Roman"/>
        </w:rPr>
        <w:t>controlled</w:t>
      </w:r>
      <w:r w:rsidR="009B0059" w:rsidRPr="009B0059">
        <w:rPr>
          <w:rFonts w:cs="Times New Roman"/>
        </w:rPr>
        <w:t xml:space="preserve"> and disorganised growth leading to </w:t>
      </w:r>
      <w:r w:rsidR="009B0059" w:rsidRPr="005577A5">
        <w:rPr>
          <w:rFonts w:cs="Times New Roman"/>
        </w:rPr>
        <w:t>plant death. Picloram is dicotyledon</w:t>
      </w:r>
      <w:r w:rsidR="003B2D10">
        <w:rPr>
          <w:rFonts w:cs="Times New Roman"/>
        </w:rPr>
        <w:t>-</w:t>
      </w:r>
      <w:r w:rsidR="009B0059" w:rsidRPr="005577A5">
        <w:rPr>
          <w:rFonts w:cs="Times New Roman"/>
        </w:rPr>
        <w:t xml:space="preserve">selective. </w:t>
      </w:r>
      <w:r w:rsidR="003B2D10">
        <w:rPr>
          <w:rFonts w:cs="Times New Roman"/>
        </w:rPr>
        <w:t>T</w:t>
      </w:r>
      <w:r w:rsidR="009B0059" w:rsidRPr="005577A5">
        <w:rPr>
          <w:rFonts w:cs="Times New Roman"/>
        </w:rPr>
        <w:t>herefore</w:t>
      </w:r>
      <w:r w:rsidR="003B2D10">
        <w:rPr>
          <w:rFonts w:cs="Times New Roman"/>
        </w:rPr>
        <w:t>, it</w:t>
      </w:r>
      <w:r w:rsidR="009B0059" w:rsidRPr="005577A5">
        <w:rPr>
          <w:rFonts w:cs="Times New Roman"/>
        </w:rPr>
        <w:t xml:space="preserve"> could be more toxic to dicotyledon aquatic plants than </w:t>
      </w:r>
      <w:r w:rsidR="003B2D10">
        <w:rPr>
          <w:rFonts w:cs="Times New Roman"/>
        </w:rPr>
        <w:t xml:space="preserve">to </w:t>
      </w:r>
      <w:r w:rsidR="009B0059" w:rsidRPr="005577A5">
        <w:rPr>
          <w:rFonts w:cs="Times New Roman"/>
        </w:rPr>
        <w:t xml:space="preserve">other aquatic receptors. </w:t>
      </w:r>
      <w:r w:rsidR="0028557D">
        <w:rPr>
          <w:rFonts w:cs="Times New Roman"/>
        </w:rPr>
        <w:t>H</w:t>
      </w:r>
      <w:r w:rsidR="009B0059" w:rsidRPr="005577A5">
        <w:rPr>
          <w:rFonts w:cs="Times New Roman"/>
        </w:rPr>
        <w:t>owever</w:t>
      </w:r>
      <w:r w:rsidR="0028557D">
        <w:rPr>
          <w:rFonts w:cs="Times New Roman"/>
        </w:rPr>
        <w:t>, this</w:t>
      </w:r>
      <w:r w:rsidR="009B0059" w:rsidRPr="005577A5">
        <w:rPr>
          <w:rFonts w:cs="Times New Roman"/>
        </w:rPr>
        <w:t xml:space="preserve"> could not be determined as there </w:t>
      </w:r>
      <w:r w:rsidR="0028557D" w:rsidRPr="005577A5">
        <w:rPr>
          <w:rFonts w:cs="Times New Roman"/>
        </w:rPr>
        <w:t>w</w:t>
      </w:r>
      <w:r w:rsidR="0028557D">
        <w:rPr>
          <w:rFonts w:cs="Times New Roman"/>
        </w:rPr>
        <w:t>ere</w:t>
      </w:r>
      <w:r w:rsidR="0028557D" w:rsidRPr="005577A5">
        <w:rPr>
          <w:rFonts w:cs="Times New Roman"/>
        </w:rPr>
        <w:t xml:space="preserve"> </w:t>
      </w:r>
      <w:r w:rsidR="006354A0" w:rsidRPr="005577A5">
        <w:rPr>
          <w:rFonts w:cs="Times New Roman"/>
        </w:rPr>
        <w:t>no d</w:t>
      </w:r>
      <w:r w:rsidR="009B0059" w:rsidRPr="005577A5">
        <w:rPr>
          <w:rFonts w:cs="Times New Roman"/>
        </w:rPr>
        <w:t>ata for aquatic dicots</w:t>
      </w:r>
      <w:r w:rsidR="006354A0" w:rsidRPr="005577A5">
        <w:rPr>
          <w:rFonts w:cs="Times New Roman"/>
        </w:rPr>
        <w:t xml:space="preserve"> that passed the quality assessment</w:t>
      </w:r>
      <w:r w:rsidR="009B0059" w:rsidRPr="005577A5">
        <w:rPr>
          <w:rFonts w:cs="Times New Roman"/>
        </w:rPr>
        <w:t xml:space="preserve">. </w:t>
      </w:r>
    </w:p>
    <w:p w14:paraId="4E0430A4" w14:textId="77777777" w:rsidR="004D64F0" w:rsidRPr="009B0059" w:rsidRDefault="00F039DE" w:rsidP="00A024EF">
      <w:pPr>
        <w:pStyle w:val="Heading5"/>
      </w:pPr>
      <w:r w:rsidRPr="009B0059">
        <w:t>Does the dataset suggest bimodality?</w:t>
      </w:r>
    </w:p>
    <w:p w14:paraId="4E0430A5" w14:textId="77777777" w:rsidR="004D64F0" w:rsidRPr="001C4BC3" w:rsidRDefault="00F039DE" w:rsidP="004D64F0">
      <w:r w:rsidRPr="009B0059">
        <w:t xml:space="preserve">Visual representation of the data, calculation of the bimodality coefficient (BC), and consideration of the range in the effect concentrations are recommended lines of evidence </w:t>
      </w:r>
      <w:r w:rsidR="003B2D10">
        <w:t>for</w:t>
      </w:r>
      <w:r w:rsidR="003B2D10" w:rsidRPr="009B0059">
        <w:t xml:space="preserve"> </w:t>
      </w:r>
      <w:r w:rsidRPr="009B0059">
        <w:t>evaluating whether bi</w:t>
      </w:r>
      <w:r w:rsidR="003B2D10">
        <w:t>modality</w:t>
      </w:r>
      <w:r w:rsidRPr="009B0059">
        <w:t xml:space="preserve"> or multi</w:t>
      </w:r>
      <w:r w:rsidRPr="001C4BC3">
        <w:t xml:space="preserve">modality of the dataset is apparent. This is discussed </w:t>
      </w:r>
      <w:r w:rsidR="003B2D10">
        <w:t>as follows.</w:t>
      </w:r>
      <w:r w:rsidRPr="001C4BC3">
        <w:t xml:space="preserve"> </w:t>
      </w:r>
    </w:p>
    <w:p w14:paraId="4E0430A6" w14:textId="2179485B" w:rsidR="004D64F0" w:rsidRPr="005577A5" w:rsidRDefault="00F039DE" w:rsidP="00A024EF">
      <w:pPr>
        <w:pStyle w:val="ListBullet"/>
      </w:pPr>
      <w:r w:rsidRPr="001C4BC3">
        <w:t xml:space="preserve">The </w:t>
      </w:r>
      <w:r w:rsidRPr="005577A5">
        <w:t xml:space="preserve">histogram of </w:t>
      </w:r>
      <w:r w:rsidR="00B95ADB" w:rsidRPr="005577A5">
        <w:t>the log transformed data (</w:t>
      </w:r>
      <w:r w:rsidR="00496AA9">
        <w:fldChar w:fldCharType="begin"/>
      </w:r>
      <w:r w:rsidR="00496AA9">
        <w:instrText xml:space="preserve"> REF _Ref80543036 \h </w:instrText>
      </w:r>
      <w:r w:rsidR="00496AA9">
        <w:fldChar w:fldCharType="separate"/>
      </w:r>
      <w:r w:rsidR="006700C9">
        <w:t>Figure B </w:t>
      </w:r>
      <w:r w:rsidR="006700C9">
        <w:rPr>
          <w:noProof/>
        </w:rPr>
        <w:t>1</w:t>
      </w:r>
      <w:r w:rsidR="00496AA9">
        <w:fldChar w:fldCharType="end"/>
      </w:r>
      <w:r w:rsidR="00B95ADB" w:rsidRPr="005577A5">
        <w:t xml:space="preserve">) </w:t>
      </w:r>
      <w:r w:rsidR="000A41A7">
        <w:t>is</w:t>
      </w:r>
      <w:r w:rsidR="000A41A7" w:rsidRPr="005577A5">
        <w:t xml:space="preserve"> </w:t>
      </w:r>
      <w:r w:rsidR="00B95ADB" w:rsidRPr="005577A5">
        <w:t xml:space="preserve">not </w:t>
      </w:r>
      <w:r w:rsidR="0028557D" w:rsidRPr="005577A5">
        <w:t>normal</w:t>
      </w:r>
      <w:r w:rsidR="0028557D">
        <w:t>,</w:t>
      </w:r>
      <w:r w:rsidR="0028557D" w:rsidRPr="005577A5">
        <w:t xml:space="preserve"> </w:t>
      </w:r>
      <w:r w:rsidR="00B95ADB" w:rsidRPr="005577A5">
        <w:t xml:space="preserve">indicating that </w:t>
      </w:r>
      <w:r w:rsidR="000A41A7">
        <w:t xml:space="preserve">the data </w:t>
      </w:r>
      <w:r w:rsidR="00B95ADB" w:rsidRPr="005577A5">
        <w:t>may be multimodal</w:t>
      </w:r>
      <w:r w:rsidR="000A41A7">
        <w:t>.</w:t>
      </w:r>
    </w:p>
    <w:p w14:paraId="4E0430A7" w14:textId="77777777" w:rsidR="004D64F0" w:rsidRPr="005577A5" w:rsidRDefault="00F039DE" w:rsidP="00A024EF">
      <w:pPr>
        <w:pStyle w:val="ListBullet"/>
      </w:pPr>
      <w:r w:rsidRPr="005577A5">
        <w:t xml:space="preserve">Data </w:t>
      </w:r>
      <w:r w:rsidR="00EC141C" w:rsidRPr="005577A5">
        <w:t xml:space="preserve">that </w:t>
      </w:r>
      <w:r w:rsidRPr="005577A5">
        <w:t>span large ranges (&gt;4 orders of magnitude) indicate potential for underlying bi</w:t>
      </w:r>
      <w:r w:rsidR="003A3F2B">
        <w:t xml:space="preserve">modality </w:t>
      </w:r>
      <w:r w:rsidRPr="005577A5">
        <w:t xml:space="preserve">or multimodality (Warne </w:t>
      </w:r>
      <w:r w:rsidRPr="005B031E">
        <w:rPr>
          <w:iCs/>
        </w:rPr>
        <w:t>et al.</w:t>
      </w:r>
      <w:r w:rsidRPr="005577A5">
        <w:t xml:space="preserve"> 2018); the </w:t>
      </w:r>
      <w:r w:rsidR="001C4BC3" w:rsidRPr="005577A5">
        <w:t>picloram</w:t>
      </w:r>
      <w:r w:rsidRPr="005577A5">
        <w:t xml:space="preserve"> data span </w:t>
      </w:r>
      <w:r w:rsidR="00941693" w:rsidRPr="005577A5">
        <w:t xml:space="preserve">three </w:t>
      </w:r>
      <w:r w:rsidRPr="005577A5">
        <w:t>orders of magnitude.</w:t>
      </w:r>
    </w:p>
    <w:p w14:paraId="4E0430A8" w14:textId="77777777" w:rsidR="004D64F0" w:rsidRPr="005577A5" w:rsidRDefault="00F039DE" w:rsidP="00A024EF">
      <w:pPr>
        <w:pStyle w:val="ListBullet"/>
      </w:pPr>
      <w:r w:rsidRPr="005577A5">
        <w:t>When the BC is greater than 0.555</w:t>
      </w:r>
      <w:r w:rsidR="001A5CD5">
        <w:t>,</w:t>
      </w:r>
      <w:r w:rsidRPr="005577A5">
        <w:t xml:space="preserve"> it indicates that the data do not follow a normal distribution and may be bimodal; the BC of the </w:t>
      </w:r>
      <w:r w:rsidR="003026F1" w:rsidRPr="005577A5">
        <w:t xml:space="preserve">log transformed </w:t>
      </w:r>
      <w:r w:rsidRPr="005577A5">
        <w:t xml:space="preserve">data is </w:t>
      </w:r>
      <w:r w:rsidR="003026F1" w:rsidRPr="005577A5">
        <w:t>0.</w:t>
      </w:r>
      <w:r w:rsidR="00440900">
        <w:t>449</w:t>
      </w:r>
      <w:r w:rsidR="001A5CD5">
        <w:t>,</w:t>
      </w:r>
      <w:r w:rsidR="003026F1" w:rsidRPr="005577A5">
        <w:t xml:space="preserve"> which </w:t>
      </w:r>
      <w:r w:rsidRPr="005577A5">
        <w:t xml:space="preserve">does not support </w:t>
      </w:r>
      <w:r w:rsidR="003026F1" w:rsidRPr="005577A5">
        <w:t xml:space="preserve">an </w:t>
      </w:r>
      <w:r w:rsidRPr="005577A5">
        <w:t>assertion</w:t>
      </w:r>
      <w:r w:rsidR="003026F1" w:rsidRPr="005577A5">
        <w:t xml:space="preserve"> of bimodality</w:t>
      </w:r>
      <w:r w:rsidRPr="005577A5">
        <w:t xml:space="preserve">. </w:t>
      </w:r>
    </w:p>
    <w:p w14:paraId="4E0430A9" w14:textId="43005E9F" w:rsidR="004D64F0" w:rsidRPr="001C4BC3" w:rsidRDefault="00F039DE" w:rsidP="00A024EF">
      <w:r w:rsidRPr="001C4BC3">
        <w:t>Based on the</w:t>
      </w:r>
      <w:r w:rsidR="001A5CD5">
        <w:t>se</w:t>
      </w:r>
      <w:r w:rsidRPr="001C4BC3">
        <w:t xml:space="preserve"> lines of evidence,</w:t>
      </w:r>
      <w:r w:rsidR="005577A5">
        <w:t xml:space="preserve"> the histogram </w:t>
      </w:r>
      <w:r w:rsidR="001A5CD5">
        <w:t>(</w:t>
      </w:r>
      <w:r w:rsidR="00496AA9">
        <w:fldChar w:fldCharType="begin"/>
      </w:r>
      <w:r w:rsidR="00496AA9">
        <w:instrText xml:space="preserve"> REF _Ref80543036 \h </w:instrText>
      </w:r>
      <w:r w:rsidR="00496AA9">
        <w:fldChar w:fldCharType="separate"/>
      </w:r>
      <w:r w:rsidR="006700C9">
        <w:t>Figure B </w:t>
      </w:r>
      <w:r w:rsidR="006700C9">
        <w:rPr>
          <w:noProof/>
        </w:rPr>
        <w:t>1</w:t>
      </w:r>
      <w:r w:rsidR="00496AA9">
        <w:fldChar w:fldCharType="end"/>
      </w:r>
      <w:r w:rsidR="001A5CD5">
        <w:t xml:space="preserve">) </w:t>
      </w:r>
      <w:r w:rsidR="005577A5">
        <w:t>suggests the dataset</w:t>
      </w:r>
      <w:r w:rsidR="004D7302">
        <w:t xml:space="preserve"> may be multimodal; however</w:t>
      </w:r>
      <w:r w:rsidR="005577A5">
        <w:t xml:space="preserve">, the </w:t>
      </w:r>
      <w:r w:rsidR="001F7DB9">
        <w:t xml:space="preserve">span of the </w:t>
      </w:r>
      <w:r w:rsidR="004D7302">
        <w:t>data</w:t>
      </w:r>
      <w:r w:rsidR="001A5CD5">
        <w:t xml:space="preserve"> </w:t>
      </w:r>
      <w:r w:rsidR="005577A5">
        <w:t>and BC do not support this.</w:t>
      </w:r>
      <w:r w:rsidRPr="001C4BC3">
        <w:t xml:space="preserve"> </w:t>
      </w:r>
    </w:p>
    <w:p w14:paraId="4E0430AA" w14:textId="77777777" w:rsidR="00440900" w:rsidRDefault="00F039DE" w:rsidP="004D64F0">
      <w:pPr>
        <w:rPr>
          <w:rFonts w:ascii="Myriad Pro" w:hAnsi="Myriad Pro"/>
          <w:b/>
          <w:sz w:val="18"/>
          <w:szCs w:val="18"/>
        </w:rPr>
      </w:pPr>
      <w:r>
        <w:rPr>
          <w:noProof/>
        </w:rPr>
        <w:drawing>
          <wp:inline distT="0" distB="0" distL="0" distR="0" wp14:anchorId="4E0430E6" wp14:editId="4E0430E7">
            <wp:extent cx="5591283" cy="2299392"/>
            <wp:effectExtent l="0" t="0" r="0" b="5715"/>
            <wp:docPr id="18" name="Picture 17" descr="Histogram, raw data (left) and log transformed (right) data&#10;&#10;Figure shows two histograms: the left histogram shows raw concentration data (x axis) against count and proportion per bar (y axes); the right histogram shows log transformed concentration data (x axis) against count and proportion per bar (y axes). Concentration units are micrograms per litre.">
              <a:extLst xmlns:a="http://schemas.openxmlformats.org/drawingml/2006/main">
                <a:ext uri="{FF2B5EF4-FFF2-40B4-BE49-F238E27FC236}">
                  <a16:creationId xmlns:a16="http://schemas.microsoft.com/office/drawing/2014/main" id="{75881BB7-D127-40AE-A962-541291FBB2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14811" name="Picture 17" descr="Histogram, raw data (left) and log transformed (right) data&#10;&#10;Figure shows two histograms: the left histogram shows raw concentration data (x axis) against count and proportion per bar (y axes); the right histogram shows log transformed concentration data (x axis) against count and proportion per bar (y axes). Concentration units are micrograms per litre.">
                      <a:extLst>
                        <a:ext uri="{FF2B5EF4-FFF2-40B4-BE49-F238E27FC236}">
                          <a16:creationId xmlns:a16="http://schemas.microsoft.com/office/drawing/2014/main" id="{75881BB7-D127-40AE-A962-541291FBB264}"/>
                        </a:ext>
                      </a:extLst>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592932" cy="2300070"/>
                    </a:xfrm>
                    <a:prstGeom prst="rect">
                      <a:avLst/>
                    </a:prstGeom>
                    <a:noFill/>
                  </pic:spPr>
                </pic:pic>
              </a:graphicData>
            </a:graphic>
          </wp:inline>
        </w:drawing>
      </w:r>
    </w:p>
    <w:p w14:paraId="4E0430AB" w14:textId="1DA6592E" w:rsidR="004D64F0" w:rsidRPr="001C4BC3" w:rsidRDefault="00F039DE" w:rsidP="00E509AF">
      <w:pPr>
        <w:pStyle w:val="Caption"/>
        <w:keepNext w:val="0"/>
      </w:pPr>
      <w:bookmarkStart w:id="35" w:name="_Ref80543036"/>
      <w:bookmarkStart w:id="36" w:name="_Toc80543145"/>
      <w:r>
        <w:t>Figure B </w:t>
      </w:r>
      <w:r w:rsidR="006F6974">
        <w:fldChar w:fldCharType="begin"/>
      </w:r>
      <w:r>
        <w:instrText xml:space="preserve"> SEQ Figure_B \* ARABIC </w:instrText>
      </w:r>
      <w:r w:rsidR="006F6974">
        <w:fldChar w:fldCharType="separate"/>
      </w:r>
      <w:r w:rsidR="006700C9">
        <w:rPr>
          <w:noProof/>
        </w:rPr>
        <w:t>1</w:t>
      </w:r>
      <w:r w:rsidR="006F6974">
        <w:rPr>
          <w:noProof/>
        </w:rPr>
        <w:fldChar w:fldCharType="end"/>
      </w:r>
      <w:bookmarkEnd w:id="35"/>
      <w:r>
        <w:t xml:space="preserve"> </w:t>
      </w:r>
      <w:r w:rsidRPr="001C4BC3">
        <w:t>Histogram</w:t>
      </w:r>
      <w:r w:rsidR="004D7302">
        <w:t>,</w:t>
      </w:r>
      <w:r w:rsidRPr="001C4BC3">
        <w:t xml:space="preserve"> raw (left) and log transformed </w:t>
      </w:r>
      <w:r w:rsidR="004D7302">
        <w:t xml:space="preserve">(right) </w:t>
      </w:r>
      <w:r w:rsidRPr="001C4BC3">
        <w:t>data</w:t>
      </w:r>
      <w:bookmarkEnd w:id="36"/>
    </w:p>
    <w:p w14:paraId="4E0430AC" w14:textId="77777777" w:rsidR="004D64F0" w:rsidRPr="001C4BC3" w:rsidRDefault="00F039DE" w:rsidP="00A024EF">
      <w:pPr>
        <w:pStyle w:val="Heading5"/>
      </w:pPr>
      <w:r w:rsidRPr="001C4BC3">
        <w:lastRenderedPageBreak/>
        <w:t>Do data show taxa-specific sensitivity (i.e. through distinct groupings of different taxa types)?</w:t>
      </w:r>
    </w:p>
    <w:p w14:paraId="4E0430AD" w14:textId="77A13D8A" w:rsidR="00B95ADB" w:rsidRDefault="00F039DE" w:rsidP="00973629">
      <w:r>
        <w:t xml:space="preserve">The box </w:t>
      </w:r>
      <w:r w:rsidR="00C54820">
        <w:t>plots</w:t>
      </w:r>
      <w:r w:rsidR="00B2788F">
        <w:t xml:space="preserve"> (</w:t>
      </w:r>
      <w:r w:rsidR="00496AA9">
        <w:fldChar w:fldCharType="begin"/>
      </w:r>
      <w:r w:rsidR="00496AA9">
        <w:instrText xml:space="preserve"> REF _Ref80543068 \h </w:instrText>
      </w:r>
      <w:r w:rsidR="00496AA9">
        <w:fldChar w:fldCharType="separate"/>
      </w:r>
      <w:r w:rsidR="006700C9">
        <w:t>Figure B </w:t>
      </w:r>
      <w:r w:rsidR="006700C9">
        <w:rPr>
          <w:noProof/>
        </w:rPr>
        <w:t>2</w:t>
      </w:r>
      <w:r w:rsidR="00496AA9">
        <w:fldChar w:fldCharType="end"/>
      </w:r>
      <w:r w:rsidR="00B2788F">
        <w:t>)</w:t>
      </w:r>
      <w:r w:rsidR="00C54820">
        <w:t xml:space="preserve"> </w:t>
      </w:r>
      <w:r w:rsidR="0028557D">
        <w:t xml:space="preserve">suggest </w:t>
      </w:r>
      <w:r w:rsidR="00C54820">
        <w:t xml:space="preserve">that </w:t>
      </w:r>
      <w:r w:rsidR="00440900">
        <w:t xml:space="preserve">fish </w:t>
      </w:r>
      <w:r w:rsidR="0028557D">
        <w:t>may be more</w:t>
      </w:r>
      <w:r w:rsidR="00C54820">
        <w:t xml:space="preserve"> sensitive </w:t>
      </w:r>
      <w:r w:rsidR="00440900">
        <w:t>to picloram</w:t>
      </w:r>
      <w:r w:rsidR="0028557D">
        <w:t xml:space="preserve"> than other taxa groups</w:t>
      </w:r>
      <w:r w:rsidR="00C54820">
        <w:t xml:space="preserve">. </w:t>
      </w:r>
      <w:r w:rsidR="0028557D">
        <w:t xml:space="preserve">However, the </w:t>
      </w:r>
      <w:r w:rsidR="00B2788F">
        <w:t xml:space="preserve">taxa </w:t>
      </w:r>
      <w:r w:rsidR="00C54820">
        <w:t>sample size</w:t>
      </w:r>
      <w:r w:rsidR="00B2788F">
        <w:t xml:space="preserve"> </w:t>
      </w:r>
      <w:r w:rsidR="00C54820">
        <w:t>is small</w:t>
      </w:r>
      <w:r>
        <w:t xml:space="preserve"> (</w:t>
      </w:r>
      <w:r w:rsidR="00C54820">
        <w:t>six</w:t>
      </w:r>
      <w:r>
        <w:t xml:space="preserve"> fish</w:t>
      </w:r>
      <w:r w:rsidR="00C54820">
        <w:t>, three</w:t>
      </w:r>
      <w:r>
        <w:t xml:space="preserve"> crustaceans, </w:t>
      </w:r>
      <w:r w:rsidR="00C54820">
        <w:t>two</w:t>
      </w:r>
      <w:r>
        <w:t xml:space="preserve"> algae and one insect</w:t>
      </w:r>
      <w:r w:rsidR="00C54820">
        <w:t>)</w:t>
      </w:r>
      <w:r w:rsidR="00B2788F">
        <w:t>,</w:t>
      </w:r>
      <w:r w:rsidR="00C54820">
        <w:t xml:space="preserve"> making it difficult to assess </w:t>
      </w:r>
      <w:r>
        <w:t>possible trends.</w:t>
      </w:r>
      <w:r w:rsidR="0028557D">
        <w:t xml:space="preserve"> More</w:t>
      </w:r>
      <w:r w:rsidR="006700F6">
        <w:t>o</w:t>
      </w:r>
      <w:r w:rsidR="0028557D">
        <w:t>ver, there is a strong reliance on acute toxicity data that were conve</w:t>
      </w:r>
      <w:r w:rsidR="006700F6">
        <w:t>r</w:t>
      </w:r>
      <w:r w:rsidR="0028557D">
        <w:t>ted to estimated chronic toxicity data using a default acute</w:t>
      </w:r>
      <w:r w:rsidR="0027707E">
        <w:t>-</w:t>
      </w:r>
      <w:r w:rsidR="0028557D">
        <w:t>to</w:t>
      </w:r>
      <w:r w:rsidR="0027707E">
        <w:t>-</w:t>
      </w:r>
      <w:r w:rsidR="0028557D">
        <w:t xml:space="preserve">chronic ratio. </w:t>
      </w:r>
    </w:p>
    <w:p w14:paraId="4E0430AE" w14:textId="77777777" w:rsidR="00E178B4" w:rsidRDefault="00F039DE" w:rsidP="00973629">
      <w:pPr>
        <w:rPr>
          <w:rFonts w:ascii="Myriad Pro" w:hAnsi="Myriad Pro"/>
          <w:b/>
          <w:sz w:val="18"/>
          <w:szCs w:val="18"/>
        </w:rPr>
      </w:pPr>
      <w:r>
        <w:rPr>
          <w:noProof/>
        </w:rPr>
        <w:drawing>
          <wp:inline distT="0" distB="0" distL="0" distR="0" wp14:anchorId="4E0430E8" wp14:editId="4E0430E9">
            <wp:extent cx="5587610" cy="2610485"/>
            <wp:effectExtent l="0" t="0" r="0" b="0"/>
            <wp:docPr id="19" name="Picture 18" descr="Box plots, raw (left) and log transformed (right) data grouped by major types of organisms&#10;&#10;Figure shows two box plots: the left box plot shows raw concentration data against different organisms; the right box plot shows the log transformed concentration data against different organisms. Concentration units are micrograms per litre. Organisms are: green alga, crustacean, insect, and fish.">
              <a:extLst xmlns:a="http://schemas.openxmlformats.org/drawingml/2006/main">
                <a:ext uri="{FF2B5EF4-FFF2-40B4-BE49-F238E27FC236}">
                  <a16:creationId xmlns:a16="http://schemas.microsoft.com/office/drawing/2014/main" id="{88D8B0E3-B7AE-4F0A-B936-B34798E794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32905" name="Picture 18" descr="Box plots, raw (left) and log transformed (right) data grouped by major types of organisms&#10;&#10;Figure shows two box plots: the left box plot shows raw concentration data against different organisms; the right box plot shows the log transformed concentration data against different organisms. Concentration units are micrograms per litre. Organisms are: green alga, crustacean, insect, and fish.">
                      <a:extLst>
                        <a:ext uri="{FF2B5EF4-FFF2-40B4-BE49-F238E27FC236}">
                          <a16:creationId xmlns:a16="http://schemas.microsoft.com/office/drawing/2014/main" id="{88D8B0E3-B7AE-4F0A-B936-B34798E794EE}"/>
                        </a:ext>
                      </a:extLst>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624032" cy="2627501"/>
                    </a:xfrm>
                    <a:prstGeom prst="rect">
                      <a:avLst/>
                    </a:prstGeom>
                    <a:noFill/>
                  </pic:spPr>
                </pic:pic>
              </a:graphicData>
            </a:graphic>
          </wp:inline>
        </w:drawing>
      </w:r>
    </w:p>
    <w:p w14:paraId="4E0430AF" w14:textId="77777777" w:rsidR="00B2788F" w:rsidRDefault="00F039DE" w:rsidP="00B2788F">
      <w:pPr>
        <w:pStyle w:val="FigureTableNoteSource"/>
      </w:pPr>
      <w:r w:rsidRPr="00B2788F">
        <w:t xml:space="preserve">Note: </w:t>
      </w:r>
      <w:r>
        <w:t>a</w:t>
      </w:r>
      <w:r w:rsidRPr="00B2788F">
        <w:t xml:space="preserve">n asterisk represents an outlying value &gt;1.5x the interquartile range. </w:t>
      </w:r>
    </w:p>
    <w:p w14:paraId="4E0430B0" w14:textId="556F071D" w:rsidR="004D64F0" w:rsidRPr="005D6B65" w:rsidRDefault="00F039DE" w:rsidP="006F28FE">
      <w:pPr>
        <w:pStyle w:val="Caption"/>
      </w:pPr>
      <w:bookmarkStart w:id="37" w:name="_Ref80543068"/>
      <w:bookmarkStart w:id="38" w:name="_Toc80543146"/>
      <w:r>
        <w:t>Figure B </w:t>
      </w:r>
      <w:r w:rsidR="006F6974">
        <w:fldChar w:fldCharType="begin"/>
      </w:r>
      <w:r>
        <w:instrText xml:space="preserve"> SEQ Figure_B \* ARABIC </w:instrText>
      </w:r>
      <w:r w:rsidR="006F6974">
        <w:fldChar w:fldCharType="separate"/>
      </w:r>
      <w:r w:rsidR="006700C9">
        <w:rPr>
          <w:noProof/>
        </w:rPr>
        <w:t>2</w:t>
      </w:r>
      <w:r w:rsidR="006F6974">
        <w:rPr>
          <w:noProof/>
        </w:rPr>
        <w:fldChar w:fldCharType="end"/>
      </w:r>
      <w:bookmarkEnd w:id="37"/>
      <w:r w:rsidRPr="005D6B65">
        <w:t xml:space="preserve"> Box</w:t>
      </w:r>
      <w:r w:rsidR="00B2788F">
        <w:t xml:space="preserve"> </w:t>
      </w:r>
      <w:r w:rsidRPr="005D6B65">
        <w:t>plots</w:t>
      </w:r>
      <w:r w:rsidR="00B2788F">
        <w:t>,</w:t>
      </w:r>
      <w:r w:rsidRPr="005D6B65">
        <w:t xml:space="preserve"> </w:t>
      </w:r>
      <w:r w:rsidR="00BD182B" w:rsidRPr="005D6B65">
        <w:t>raw</w:t>
      </w:r>
      <w:r w:rsidRPr="005D6B65">
        <w:t xml:space="preserve"> (left) and </w:t>
      </w:r>
      <w:r w:rsidR="00BD182B" w:rsidRPr="005D6B65">
        <w:t xml:space="preserve">log transformed </w:t>
      </w:r>
      <w:r w:rsidRPr="005D6B65">
        <w:t>(right) data grouped by major types of organisms</w:t>
      </w:r>
      <w:bookmarkEnd w:id="38"/>
    </w:p>
    <w:p w14:paraId="4E0430B1" w14:textId="17A04149" w:rsidR="00E66280" w:rsidRPr="005D6B65" w:rsidRDefault="00F039DE" w:rsidP="00A024EF">
      <w:r w:rsidRPr="005D6B65">
        <w:t xml:space="preserve">The data were further examined using box plots of the SSD data </w:t>
      </w:r>
      <w:r w:rsidR="00031287">
        <w:t>to compare</w:t>
      </w:r>
      <w:r w:rsidR="002A3991" w:rsidRPr="005D6B65">
        <w:t xml:space="preserve"> autotrophs and heterotrophs </w:t>
      </w:r>
      <w:r w:rsidRPr="005D6B65">
        <w:t>(</w:t>
      </w:r>
      <w:r w:rsidR="00496AA9">
        <w:fldChar w:fldCharType="begin"/>
      </w:r>
      <w:r w:rsidR="00496AA9">
        <w:instrText xml:space="preserve"> REF _Ref80543082 \h </w:instrText>
      </w:r>
      <w:r w:rsidR="00496AA9">
        <w:fldChar w:fldCharType="separate"/>
      </w:r>
      <w:r w:rsidR="006700C9">
        <w:t>Figure B </w:t>
      </w:r>
      <w:r w:rsidR="006700C9">
        <w:rPr>
          <w:noProof/>
        </w:rPr>
        <w:t>3</w:t>
      </w:r>
      <w:r w:rsidR="00496AA9">
        <w:fldChar w:fldCharType="end"/>
      </w:r>
      <w:r w:rsidRPr="005D6B65">
        <w:t>)</w:t>
      </w:r>
    </w:p>
    <w:p w14:paraId="4E0430B2" w14:textId="1DAB0AFC" w:rsidR="002A3991" w:rsidRDefault="00F039DE" w:rsidP="00A024EF">
      <w:r w:rsidRPr="005D6B65">
        <w:t xml:space="preserve">As shown in </w:t>
      </w:r>
      <w:r w:rsidR="00496AA9">
        <w:fldChar w:fldCharType="begin"/>
      </w:r>
      <w:r w:rsidR="00496AA9">
        <w:instrText xml:space="preserve"> REF _Ref80543082 \h </w:instrText>
      </w:r>
      <w:r w:rsidR="00496AA9">
        <w:fldChar w:fldCharType="separate"/>
      </w:r>
      <w:r w:rsidR="006700C9">
        <w:t>Figure B </w:t>
      </w:r>
      <w:r w:rsidR="006700C9">
        <w:rPr>
          <w:noProof/>
        </w:rPr>
        <w:t>3</w:t>
      </w:r>
      <w:r w:rsidR="00496AA9">
        <w:fldChar w:fldCharType="end"/>
      </w:r>
      <w:r w:rsidRPr="005D6B65">
        <w:t>, the autotroph (n=</w:t>
      </w:r>
      <w:r w:rsidR="001C4BC3" w:rsidRPr="005D6B65">
        <w:t>2</w:t>
      </w:r>
      <w:r w:rsidRPr="005D6B65">
        <w:t>) and heterotroph (n=</w:t>
      </w:r>
      <w:r w:rsidR="001C4BC3" w:rsidRPr="005D6B65">
        <w:t>10</w:t>
      </w:r>
      <w:r w:rsidRPr="005D6B65">
        <w:t xml:space="preserve">) groupings appear to differ in sensitivity. The median for each grouping indicates </w:t>
      </w:r>
      <w:r w:rsidR="00BD182B" w:rsidRPr="005D6B65">
        <w:t xml:space="preserve">difference </w:t>
      </w:r>
      <w:r w:rsidRPr="005D6B65">
        <w:t xml:space="preserve">in effect for animals and </w:t>
      </w:r>
      <w:r w:rsidR="00EC141C" w:rsidRPr="005D6B65">
        <w:t>plants</w:t>
      </w:r>
      <w:r w:rsidRPr="005D6B65">
        <w:t xml:space="preserve">, with </w:t>
      </w:r>
      <w:r w:rsidR="001C4BC3" w:rsidRPr="005D6B65">
        <w:t>animals more sensitive</w:t>
      </w:r>
      <w:r w:rsidRPr="005D6B65">
        <w:t>. However,</w:t>
      </w:r>
      <w:r w:rsidR="005D6B65" w:rsidRPr="005D6B65">
        <w:t xml:space="preserve"> this </w:t>
      </w:r>
      <w:r w:rsidR="008D2436">
        <w:t>may be</w:t>
      </w:r>
      <w:r w:rsidR="005D6B65" w:rsidRPr="005D6B65">
        <w:t xml:space="preserve"> an artefact of the small sample size for autotrophs.</w:t>
      </w:r>
    </w:p>
    <w:p w14:paraId="4E0430B3" w14:textId="77777777" w:rsidR="00440900" w:rsidRDefault="00F039DE" w:rsidP="00E66280">
      <w:pPr>
        <w:rPr>
          <w:rFonts w:ascii="Myriad Pro" w:hAnsi="Myriad Pro"/>
          <w:b/>
          <w:sz w:val="18"/>
          <w:szCs w:val="18"/>
        </w:rPr>
      </w:pPr>
      <w:r>
        <w:rPr>
          <w:noProof/>
        </w:rPr>
        <w:drawing>
          <wp:inline distT="0" distB="0" distL="0" distR="0" wp14:anchorId="4E0430EA" wp14:editId="4E0430EB">
            <wp:extent cx="5587365" cy="2312035"/>
            <wp:effectExtent l="0" t="0" r="0" b="0"/>
            <wp:docPr id="6" name="Picture 5" descr="Box plots, raw (left) and log transformed (right) data grouped by autotrophs and heterotrophs&#10;&#10;Figure shows two box plots: the left box plot shows raw concentration data against autotrophs and heterotrophs; the right box plot shows the log transformed concentration data against autotrophs and heterotrophs. Concentration units are micrograms per litre.">
              <a:extLst xmlns:a="http://schemas.openxmlformats.org/drawingml/2006/main">
                <a:ext uri="{FF2B5EF4-FFF2-40B4-BE49-F238E27FC236}">
                  <a16:creationId xmlns:a16="http://schemas.microsoft.com/office/drawing/2014/main" id="{1E714FF8-C783-4CD3-A1BB-FE6F29747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32909" name="Picture 5" descr="Box plots, raw (left) and log transformed (right) data grouped by autotrophs and heterotrophs&#10;&#10;Figure shows two box plots: the left box plot shows raw concentration data against autotrophs and heterotrophs; the right box plot shows the log transformed concentration data against autotrophs and heterotrophs. Concentration units are micrograms per litre.">
                      <a:extLst>
                        <a:ext uri="{FF2B5EF4-FFF2-40B4-BE49-F238E27FC236}">
                          <a16:creationId xmlns:a16="http://schemas.microsoft.com/office/drawing/2014/main" id="{1E714FF8-C783-4CD3-A1BB-FE6F29747C29}"/>
                        </a:ext>
                      </a:extLst>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588603" cy="2312547"/>
                    </a:xfrm>
                    <a:prstGeom prst="rect">
                      <a:avLst/>
                    </a:prstGeom>
                    <a:noFill/>
                  </pic:spPr>
                </pic:pic>
              </a:graphicData>
            </a:graphic>
          </wp:inline>
        </w:drawing>
      </w:r>
    </w:p>
    <w:p w14:paraId="4E0430B4" w14:textId="77777777" w:rsidR="006F04D9" w:rsidRDefault="00F039DE" w:rsidP="006F04D9">
      <w:pPr>
        <w:pStyle w:val="FigureTableNoteSource"/>
      </w:pPr>
      <w:r w:rsidRPr="006F04D9">
        <w:t>Note: an asterisk represents an outlying value &gt;1.5x the interquartile range.</w:t>
      </w:r>
    </w:p>
    <w:p w14:paraId="4E0430B5" w14:textId="7E7EBBB1" w:rsidR="00E66280" w:rsidRPr="005D6B65" w:rsidRDefault="00F039DE" w:rsidP="00E509AF">
      <w:pPr>
        <w:pStyle w:val="Caption"/>
        <w:keepNext w:val="0"/>
      </w:pPr>
      <w:bookmarkStart w:id="39" w:name="_Ref80543082"/>
      <w:bookmarkStart w:id="40" w:name="_Toc80543147"/>
      <w:r>
        <w:t>Figure B </w:t>
      </w:r>
      <w:fldSimple w:instr=" SEQ Figure_B \* ARABIC ">
        <w:r w:rsidR="006700C9">
          <w:rPr>
            <w:noProof/>
          </w:rPr>
          <w:t>3</w:t>
        </w:r>
      </w:fldSimple>
      <w:bookmarkEnd w:id="39"/>
      <w:r>
        <w:t xml:space="preserve"> </w:t>
      </w:r>
      <w:r w:rsidRPr="005D6B65">
        <w:t>Box</w:t>
      </w:r>
      <w:r w:rsidR="00B2788F">
        <w:t xml:space="preserve"> </w:t>
      </w:r>
      <w:r w:rsidRPr="005D6B65">
        <w:t>plots</w:t>
      </w:r>
      <w:r w:rsidR="007C04BF">
        <w:t>,</w:t>
      </w:r>
      <w:r w:rsidRPr="005D6B65">
        <w:t xml:space="preserve"> </w:t>
      </w:r>
      <w:r w:rsidR="00BD182B" w:rsidRPr="005D6B65">
        <w:t>raw</w:t>
      </w:r>
      <w:r w:rsidRPr="005D6B65">
        <w:t xml:space="preserve"> (left) and </w:t>
      </w:r>
      <w:r w:rsidR="00BD182B" w:rsidRPr="005D6B65">
        <w:t xml:space="preserve">log transformed </w:t>
      </w:r>
      <w:r w:rsidRPr="005D6B65">
        <w:t>(right) data grouped by autotroph</w:t>
      </w:r>
      <w:r w:rsidR="007C04BF">
        <w:t>s</w:t>
      </w:r>
      <w:r w:rsidRPr="005D6B65">
        <w:t xml:space="preserve"> and heterotroph</w:t>
      </w:r>
      <w:r w:rsidR="007C04BF">
        <w:t>s</w:t>
      </w:r>
      <w:bookmarkEnd w:id="40"/>
    </w:p>
    <w:p w14:paraId="4E0430B6" w14:textId="77777777" w:rsidR="004D64F0" w:rsidRPr="005D6B65" w:rsidRDefault="00F039DE" w:rsidP="00A024EF">
      <w:pPr>
        <w:pStyle w:val="Heading5"/>
      </w:pPr>
      <w:r w:rsidRPr="005D6B65">
        <w:lastRenderedPageBreak/>
        <w:t>Is it likely that indications of bi</w:t>
      </w:r>
      <w:r w:rsidR="00CE0FBE">
        <w:t>modality</w:t>
      </w:r>
      <w:r w:rsidRPr="005D6B65">
        <w:t xml:space="preserve"> or multimodality or distinct clustering of taxa groups are not due to artefacts of data selection, small sample size, test procedures, or other reasons unrelated to a specific mode of action?</w:t>
      </w:r>
    </w:p>
    <w:p w14:paraId="4E0430B7" w14:textId="77777777" w:rsidR="004D64F0" w:rsidRDefault="00F039DE" w:rsidP="004D64F0">
      <w:pPr>
        <w:rPr>
          <w:rFonts w:cs="Arial"/>
        </w:rPr>
      </w:pPr>
      <w:r>
        <w:t>T</w:t>
      </w:r>
      <w:r w:rsidR="00BD182B" w:rsidRPr="005D6B65">
        <w:t>he data appear to show signs of bi</w:t>
      </w:r>
      <w:r>
        <w:t>modality</w:t>
      </w:r>
      <w:r w:rsidR="00BD182B" w:rsidRPr="005D6B65">
        <w:t xml:space="preserve"> or multimodality</w:t>
      </w:r>
      <w:r w:rsidR="0028557D">
        <w:t>, with f</w:t>
      </w:r>
      <w:r w:rsidR="00185744">
        <w:t>ish</w:t>
      </w:r>
      <w:r w:rsidR="005D6B65" w:rsidRPr="005D6B65">
        <w:t xml:space="preserve"> </w:t>
      </w:r>
      <w:r w:rsidR="0028557D">
        <w:t>potentially being a more</w:t>
      </w:r>
      <w:r w:rsidR="005D6B65" w:rsidRPr="005D6B65">
        <w:t xml:space="preserve"> sensitive </w:t>
      </w:r>
      <w:r w:rsidR="0028557D">
        <w:t xml:space="preserve">taxa </w:t>
      </w:r>
      <w:r w:rsidR="005D6B65" w:rsidRPr="005D6B65">
        <w:t>group. However</w:t>
      </w:r>
      <w:r w:rsidR="0028557D">
        <w:t>,</w:t>
      </w:r>
      <w:r w:rsidR="005D6B65" w:rsidRPr="005D6B65">
        <w:t xml:space="preserve"> this </w:t>
      </w:r>
      <w:r>
        <w:t>may be</w:t>
      </w:r>
      <w:r w:rsidR="005D6B65" w:rsidRPr="005D6B65">
        <w:t xml:space="preserve"> due to artefacts associated with the small sample size of the </w:t>
      </w:r>
      <w:r w:rsidR="00185744">
        <w:t>other taxa</w:t>
      </w:r>
      <w:r w:rsidR="0028557D">
        <w:t xml:space="preserve"> and a reliance on acute toxicity data converted to estimated chronic toxicity data</w:t>
      </w:r>
      <w:r w:rsidR="005D6B65" w:rsidRPr="005D6B65">
        <w:t xml:space="preserve">. </w:t>
      </w:r>
      <w:r w:rsidRPr="005D6B65">
        <w:rPr>
          <w:rFonts w:cs="Arial"/>
        </w:rPr>
        <w:t>Th</w:t>
      </w:r>
      <w:r w:rsidR="0028557D">
        <w:rPr>
          <w:rFonts w:cs="Arial"/>
        </w:rPr>
        <w:t>us, th</w:t>
      </w:r>
      <w:r w:rsidRPr="005D6B65">
        <w:rPr>
          <w:rFonts w:cs="Arial"/>
        </w:rPr>
        <w:t xml:space="preserve">e weight of evidence supports use of the </w:t>
      </w:r>
      <w:r>
        <w:rPr>
          <w:rFonts w:cs="Arial"/>
        </w:rPr>
        <w:t>12</w:t>
      </w:r>
      <w:r w:rsidRPr="005D6B65">
        <w:rPr>
          <w:rFonts w:cs="Arial"/>
        </w:rPr>
        <w:t xml:space="preserve"> species identified in </w:t>
      </w:r>
      <w:r w:rsidR="00BF5B13">
        <w:rPr>
          <w:rFonts w:cs="Arial"/>
        </w:rPr>
        <w:t>deriv</w:t>
      </w:r>
      <w:r w:rsidR="00BF5B13" w:rsidRPr="005D6B65">
        <w:rPr>
          <w:rFonts w:cs="Arial"/>
        </w:rPr>
        <w:t xml:space="preserve">ation </w:t>
      </w:r>
      <w:r w:rsidRPr="005D6B65">
        <w:rPr>
          <w:rFonts w:cs="Arial"/>
        </w:rPr>
        <w:t>of the SSD.</w:t>
      </w:r>
    </w:p>
    <w:p w14:paraId="4E0430B8" w14:textId="77777777" w:rsidR="00A024EF" w:rsidRDefault="00F039DE">
      <w:pPr>
        <w:spacing w:after="0" w:line="240" w:lineRule="auto"/>
        <w:rPr>
          <w:rFonts w:cs="Arial"/>
        </w:rPr>
      </w:pPr>
      <w:r>
        <w:rPr>
          <w:rFonts w:cs="Arial"/>
        </w:rPr>
        <w:br w:type="page"/>
      </w:r>
    </w:p>
    <w:p w14:paraId="4E0430B9" w14:textId="77777777" w:rsidR="00606A7B" w:rsidRPr="00676C38" w:rsidRDefault="00F039DE" w:rsidP="00606A7B">
      <w:pPr>
        <w:pStyle w:val="Heading2"/>
        <w:numPr>
          <w:ilvl w:val="0"/>
          <w:numId w:val="0"/>
        </w:numPr>
        <w:ind w:left="680" w:hanging="680"/>
      </w:pPr>
      <w:bookmarkStart w:id="41" w:name="_Toc4498839"/>
      <w:bookmarkStart w:id="42" w:name="_Toc80543140"/>
      <w:r w:rsidRPr="00676C38">
        <w:lastRenderedPageBreak/>
        <w:t>References</w:t>
      </w:r>
      <w:bookmarkEnd w:id="41"/>
      <w:bookmarkEnd w:id="42"/>
    </w:p>
    <w:p w14:paraId="4E0430BA" w14:textId="77777777" w:rsidR="00EA07AF" w:rsidRDefault="00F039DE" w:rsidP="00A024EF">
      <w:bookmarkStart w:id="43" w:name="_Ref436753354"/>
      <w:bookmarkStart w:id="44" w:name="_Ref436772848"/>
      <w:bookmarkStart w:id="45" w:name="_Ref436769184"/>
      <w:bookmarkStart w:id="46" w:name="_Ref431593597"/>
      <w:bookmarkStart w:id="47" w:name="_Ref430543411"/>
      <w:bookmarkStart w:id="48" w:name="_Ref429915143"/>
      <w:r w:rsidRPr="009B390A">
        <w:t xml:space="preserve">ACVM 2020. </w:t>
      </w:r>
      <w:hyperlink r:id="rId37" w:history="1">
        <w:r w:rsidRPr="00831C00">
          <w:rPr>
            <w:rStyle w:val="Hyperlink"/>
          </w:rPr>
          <w:t>Agricultural Compounds and Veterinary Medicines register</w:t>
        </w:r>
      </w:hyperlink>
      <w:r w:rsidRPr="009B390A">
        <w:t xml:space="preserve">. Minister for Primary Industries New Zealand. </w:t>
      </w:r>
    </w:p>
    <w:p w14:paraId="4E0430BB" w14:textId="77777777" w:rsidR="00EA07AF" w:rsidRPr="003C4053" w:rsidRDefault="00F039DE" w:rsidP="00A024EF">
      <w:pPr>
        <w:rPr>
          <w:noProof/>
        </w:rPr>
      </w:pPr>
      <w:r w:rsidRPr="003C4053">
        <w:rPr>
          <w:noProof/>
        </w:rPr>
        <w:t>ANZG 2018. Australian and New Zealand Guidelines for Fresh and Marine Water Quality. Australian and New Zealand Governments and Australian state and territory governments, Canberra, ACT, Australia</w:t>
      </w:r>
      <w:r>
        <w:rPr>
          <w:noProof/>
        </w:rPr>
        <w:t xml:space="preserve">, </w:t>
      </w:r>
      <w:r w:rsidRPr="00D66833">
        <w:t>https://www.waterquality.gov.au/anz-guidelines</w:t>
      </w:r>
      <w:r>
        <w:t>.</w:t>
      </w:r>
      <w:r w:rsidRPr="003C4053">
        <w:rPr>
          <w:noProof/>
        </w:rPr>
        <w:t xml:space="preserve"> </w:t>
      </w:r>
    </w:p>
    <w:bookmarkEnd w:id="43"/>
    <w:p w14:paraId="4E0430BC" w14:textId="77777777" w:rsidR="00EA07AF" w:rsidRDefault="00F039DE" w:rsidP="00A024EF">
      <w:pPr>
        <w:rPr>
          <w:noProof/>
        </w:rPr>
      </w:pPr>
      <w:r w:rsidRPr="00676C38">
        <w:rPr>
          <w:noProof/>
        </w:rPr>
        <w:t xml:space="preserve">APVMA 2015. </w:t>
      </w:r>
      <w:hyperlink r:id="rId38" w:history="1">
        <w:r w:rsidRPr="007F3FD9">
          <w:rPr>
            <w:rStyle w:val="Hyperlink"/>
            <w:noProof/>
          </w:rPr>
          <w:t>Priority 3 – Chemicals Nominated for Review</w:t>
        </w:r>
      </w:hyperlink>
      <w:r w:rsidRPr="00676C38">
        <w:rPr>
          <w:noProof/>
        </w:rPr>
        <w:t>. Australian Pesticides and Veterinary Medicines Authority</w:t>
      </w:r>
      <w:r>
        <w:rPr>
          <w:noProof/>
        </w:rPr>
        <w:t>.</w:t>
      </w:r>
    </w:p>
    <w:p w14:paraId="4E0430BD" w14:textId="77777777" w:rsidR="00EA07AF" w:rsidRDefault="00F039DE" w:rsidP="00A024EF">
      <w:pPr>
        <w:rPr>
          <w:noProof/>
        </w:rPr>
      </w:pPr>
      <w:bookmarkStart w:id="49" w:name="_Ref436775201"/>
      <w:r w:rsidRPr="00676C38">
        <w:rPr>
          <w:noProof/>
        </w:rPr>
        <w:t>APVMA 20</w:t>
      </w:r>
      <w:r>
        <w:rPr>
          <w:noProof/>
        </w:rPr>
        <w:t>20a</w:t>
      </w:r>
      <w:r w:rsidRPr="00676C38">
        <w:rPr>
          <w:noProof/>
        </w:rPr>
        <w:t xml:space="preserve">. </w:t>
      </w:r>
      <w:hyperlink r:id="rId39" w:history="1">
        <w:r w:rsidRPr="00E638F7">
          <w:rPr>
            <w:rStyle w:val="Hyperlink"/>
            <w:noProof/>
          </w:rPr>
          <w:t>Public Chemical Registration Information System Search</w:t>
        </w:r>
      </w:hyperlink>
      <w:r w:rsidRPr="00676C38">
        <w:rPr>
          <w:noProof/>
        </w:rPr>
        <w:t>. Australian Pesticides and Veterinary Medicines Authority.</w:t>
      </w:r>
      <w:bookmarkEnd w:id="49"/>
      <w:r w:rsidRPr="00676C38">
        <w:rPr>
          <w:noProof/>
        </w:rPr>
        <w:t xml:space="preserve"> </w:t>
      </w:r>
    </w:p>
    <w:p w14:paraId="4E0430BE" w14:textId="77777777" w:rsidR="00EA07AF" w:rsidRPr="00676C38" w:rsidRDefault="00F039DE" w:rsidP="00A024EF">
      <w:pPr>
        <w:rPr>
          <w:noProof/>
        </w:rPr>
      </w:pPr>
      <w:r>
        <w:rPr>
          <w:noProof/>
        </w:rPr>
        <w:t xml:space="preserve">APVMA 2020b. </w:t>
      </w:r>
      <w:hyperlink r:id="rId40" w:history="1">
        <w:r w:rsidRPr="00D32E5D">
          <w:rPr>
            <w:rStyle w:val="Hyperlink"/>
            <w:noProof/>
          </w:rPr>
          <w:t>Picloram. Chemicals nominated and prioritised for reconsideration</w:t>
        </w:r>
      </w:hyperlink>
      <w:r>
        <w:rPr>
          <w:noProof/>
        </w:rPr>
        <w:t xml:space="preserve">. </w:t>
      </w:r>
      <w:r w:rsidRPr="00676C38">
        <w:rPr>
          <w:noProof/>
        </w:rPr>
        <w:t xml:space="preserve">Australian Pesticides and Veterinary Medicines Authority. </w:t>
      </w:r>
    </w:p>
    <w:p w14:paraId="4E0430BF" w14:textId="77777777" w:rsidR="00EA07AF" w:rsidRDefault="00F039DE" w:rsidP="00A024EF">
      <w:pPr>
        <w:rPr>
          <w:noProof/>
        </w:rPr>
      </w:pPr>
      <w:bookmarkStart w:id="50" w:name="_Ref437209477"/>
      <w:r w:rsidRPr="00676C38">
        <w:rPr>
          <w:noProof/>
        </w:rPr>
        <w:t>Assis, EC, Silva</w:t>
      </w:r>
      <w:r>
        <w:rPr>
          <w:noProof/>
        </w:rPr>
        <w:t>,</w:t>
      </w:r>
      <w:r w:rsidRPr="00676C38">
        <w:rPr>
          <w:noProof/>
        </w:rPr>
        <w:t xml:space="preserve"> AA, Barbosa</w:t>
      </w:r>
      <w:r>
        <w:rPr>
          <w:noProof/>
        </w:rPr>
        <w:t>,</w:t>
      </w:r>
      <w:r w:rsidRPr="00676C38">
        <w:rPr>
          <w:noProof/>
        </w:rPr>
        <w:t xml:space="preserve"> LC, Queiroz</w:t>
      </w:r>
      <w:r>
        <w:rPr>
          <w:noProof/>
        </w:rPr>
        <w:t>,</w:t>
      </w:r>
      <w:r w:rsidRPr="00676C38">
        <w:rPr>
          <w:noProof/>
        </w:rPr>
        <w:t xml:space="preserve"> MELR, D’Antonino</w:t>
      </w:r>
      <w:r>
        <w:rPr>
          <w:noProof/>
        </w:rPr>
        <w:t>,</w:t>
      </w:r>
      <w:r w:rsidRPr="00676C38">
        <w:rPr>
          <w:noProof/>
        </w:rPr>
        <w:t xml:space="preserve"> L</w:t>
      </w:r>
      <w:r>
        <w:rPr>
          <w:noProof/>
        </w:rPr>
        <w:t xml:space="preserve"> &amp;</w:t>
      </w:r>
      <w:r w:rsidRPr="00676C38">
        <w:rPr>
          <w:noProof/>
        </w:rPr>
        <w:t xml:space="preserve"> Cruz</w:t>
      </w:r>
      <w:r>
        <w:rPr>
          <w:noProof/>
        </w:rPr>
        <w:t>,</w:t>
      </w:r>
      <w:r w:rsidRPr="00676C38">
        <w:rPr>
          <w:noProof/>
        </w:rPr>
        <w:t xml:space="preserve"> LS</w:t>
      </w:r>
      <w:r>
        <w:rPr>
          <w:noProof/>
        </w:rPr>
        <w:t xml:space="preserve"> </w:t>
      </w:r>
      <w:r w:rsidRPr="00676C38">
        <w:rPr>
          <w:noProof/>
        </w:rPr>
        <w:t>2011.</w:t>
      </w:r>
      <w:r>
        <w:rPr>
          <w:noProof/>
        </w:rPr>
        <w:t xml:space="preserve"> </w:t>
      </w:r>
      <w:r w:rsidRPr="00676C38">
        <w:rPr>
          <w:noProof/>
        </w:rPr>
        <w:t xml:space="preserve">Sorption and Desorption of Picloram in Soils under Pastures in Brazil. </w:t>
      </w:r>
      <w:r w:rsidRPr="003A1A65">
        <w:rPr>
          <w:rStyle w:val="Emphasis"/>
        </w:rPr>
        <w:t>Planta Daninha</w:t>
      </w:r>
      <w:r w:rsidRPr="00676C38">
        <w:rPr>
          <w:noProof/>
        </w:rPr>
        <w:t>, 29(4)</w:t>
      </w:r>
      <w:r>
        <w:rPr>
          <w:noProof/>
        </w:rPr>
        <w:t>,</w:t>
      </w:r>
      <w:r w:rsidRPr="00676C38">
        <w:rPr>
          <w:noProof/>
        </w:rPr>
        <w:t xml:space="preserve"> 893</w:t>
      </w:r>
      <w:r>
        <w:rPr>
          <w:noProof/>
        </w:rPr>
        <w:t>–</w:t>
      </w:r>
      <w:r w:rsidRPr="00676C38">
        <w:rPr>
          <w:noProof/>
        </w:rPr>
        <w:t>899.</w:t>
      </w:r>
      <w:bookmarkEnd w:id="50"/>
    </w:p>
    <w:p w14:paraId="4E0430C0" w14:textId="77777777" w:rsidR="00EA07AF" w:rsidRDefault="00F039DE" w:rsidP="00A024EF">
      <w:pPr>
        <w:rPr>
          <w:noProof/>
        </w:rPr>
      </w:pPr>
      <w:r w:rsidRPr="00AA34DA">
        <w:rPr>
          <w:noProof/>
        </w:rPr>
        <w:t>Botelho, RG, dos Santos</w:t>
      </w:r>
      <w:r>
        <w:rPr>
          <w:noProof/>
        </w:rPr>
        <w:t>,</w:t>
      </w:r>
      <w:r w:rsidRPr="00AA34DA">
        <w:rPr>
          <w:noProof/>
        </w:rPr>
        <w:t xml:space="preserve"> JB, Fernandes</w:t>
      </w:r>
      <w:r>
        <w:rPr>
          <w:noProof/>
        </w:rPr>
        <w:t>,</w:t>
      </w:r>
      <w:r w:rsidRPr="00AA34DA">
        <w:rPr>
          <w:noProof/>
        </w:rPr>
        <w:t xml:space="preserve"> KM</w:t>
      </w:r>
      <w:r>
        <w:rPr>
          <w:noProof/>
        </w:rPr>
        <w:t xml:space="preserve"> &amp;</w:t>
      </w:r>
      <w:r w:rsidRPr="00AA34DA">
        <w:rPr>
          <w:noProof/>
        </w:rPr>
        <w:t xml:space="preserve"> Neves</w:t>
      </w:r>
      <w:r>
        <w:rPr>
          <w:noProof/>
        </w:rPr>
        <w:t>,</w:t>
      </w:r>
      <w:r w:rsidRPr="00AA34DA">
        <w:rPr>
          <w:noProof/>
        </w:rPr>
        <w:t xml:space="preserve"> CA 2012. Effects of atrazine and picloram on grass carp: </w:t>
      </w:r>
      <w:r>
        <w:rPr>
          <w:noProof/>
        </w:rPr>
        <w:t>A</w:t>
      </w:r>
      <w:r w:rsidRPr="00AA34DA">
        <w:rPr>
          <w:noProof/>
        </w:rPr>
        <w:t>cute toxicity and histological assessment</w:t>
      </w:r>
      <w:r>
        <w:rPr>
          <w:noProof/>
        </w:rPr>
        <w:t xml:space="preserve">. </w:t>
      </w:r>
      <w:r w:rsidRPr="003A1A65">
        <w:rPr>
          <w:rStyle w:val="Emphasis"/>
        </w:rPr>
        <w:t>Toxicological and Environmental Chemistry</w:t>
      </w:r>
      <w:r>
        <w:rPr>
          <w:noProof/>
        </w:rPr>
        <w:t>, 94, 121–127.</w:t>
      </w:r>
    </w:p>
    <w:p w14:paraId="4E0430C1" w14:textId="77777777" w:rsidR="00EA07AF" w:rsidRPr="00874FB1" w:rsidRDefault="00F039DE" w:rsidP="00A024EF">
      <w:pPr>
        <w:rPr>
          <w:noProof/>
        </w:rPr>
      </w:pPr>
      <w:r w:rsidRPr="00874FB1">
        <w:rPr>
          <w:noProof/>
        </w:rPr>
        <w:t>Cheung, MW</w:t>
      </w:r>
      <w:r>
        <w:rPr>
          <w:noProof/>
        </w:rPr>
        <w:t xml:space="preserve"> &amp;</w:t>
      </w:r>
      <w:r w:rsidRPr="00874FB1">
        <w:rPr>
          <w:noProof/>
        </w:rPr>
        <w:t xml:space="preserve"> Biggar, JW</w:t>
      </w:r>
      <w:r>
        <w:rPr>
          <w:noProof/>
        </w:rPr>
        <w:t xml:space="preserve"> 1974. </w:t>
      </w:r>
      <w:r w:rsidRPr="00C9020A">
        <w:t xml:space="preserve">Solubility and </w:t>
      </w:r>
      <w:r>
        <w:t>m</w:t>
      </w:r>
      <w:r w:rsidRPr="00C9020A">
        <w:t xml:space="preserve">olecular </w:t>
      </w:r>
      <w:r>
        <w:t>s</w:t>
      </w:r>
      <w:r w:rsidRPr="00C9020A">
        <w:t xml:space="preserve">tructure of 4-Amino-3,5,6-trichloropicolinic </w:t>
      </w:r>
      <w:r>
        <w:t>a</w:t>
      </w:r>
      <w:r w:rsidRPr="00C9020A">
        <w:t xml:space="preserve">cid in </w:t>
      </w:r>
      <w:r>
        <w:t>r</w:t>
      </w:r>
      <w:r w:rsidRPr="00C9020A">
        <w:t xml:space="preserve">elation to pH and </w:t>
      </w:r>
      <w:r>
        <w:t>t</w:t>
      </w:r>
      <w:r w:rsidRPr="00C9020A">
        <w:t>emperature</w:t>
      </w:r>
      <w:r>
        <w:rPr>
          <w:noProof/>
        </w:rPr>
        <w:t xml:space="preserve">. </w:t>
      </w:r>
      <w:r w:rsidRPr="004074D8">
        <w:rPr>
          <w:rStyle w:val="Emphasis"/>
        </w:rPr>
        <w:t>Journal of Agricultural and Food Chemistry</w:t>
      </w:r>
      <w:r>
        <w:rPr>
          <w:noProof/>
        </w:rPr>
        <w:t>,</w:t>
      </w:r>
      <w:r w:rsidRPr="00874FB1">
        <w:rPr>
          <w:noProof/>
        </w:rPr>
        <w:t xml:space="preserve"> 22</w:t>
      </w:r>
      <w:r>
        <w:rPr>
          <w:noProof/>
        </w:rPr>
        <w:t xml:space="preserve">, </w:t>
      </w:r>
      <w:r w:rsidRPr="00874FB1">
        <w:rPr>
          <w:noProof/>
        </w:rPr>
        <w:t>202</w:t>
      </w:r>
      <w:r>
        <w:rPr>
          <w:noProof/>
        </w:rPr>
        <w:t xml:space="preserve">–206. </w:t>
      </w:r>
    </w:p>
    <w:p w14:paraId="4E0430C2" w14:textId="77777777" w:rsidR="00EA07AF" w:rsidRPr="00676C38" w:rsidRDefault="00F039DE" w:rsidP="00A024EF">
      <w:pPr>
        <w:rPr>
          <w:noProof/>
        </w:rPr>
      </w:pPr>
      <w:bookmarkStart w:id="51" w:name="_Ref436773412"/>
      <w:r w:rsidRPr="00676C38">
        <w:rPr>
          <w:noProof/>
        </w:rPr>
        <w:t xml:space="preserve">Cox, C 1998. Picloram. Herbicide Factsheet. </w:t>
      </w:r>
      <w:r w:rsidRPr="003E718B">
        <w:rPr>
          <w:rStyle w:val="Emphasis"/>
        </w:rPr>
        <w:t>Journal of Pesticide Reform</w:t>
      </w:r>
      <w:r>
        <w:rPr>
          <w:noProof/>
        </w:rPr>
        <w:t>,</w:t>
      </w:r>
      <w:r w:rsidRPr="00676C38">
        <w:rPr>
          <w:noProof/>
        </w:rPr>
        <w:t xml:space="preserve"> Spring 1988</w:t>
      </w:r>
      <w:r>
        <w:rPr>
          <w:noProof/>
        </w:rPr>
        <w:t>,</w:t>
      </w:r>
      <w:r w:rsidRPr="00676C38">
        <w:rPr>
          <w:noProof/>
        </w:rPr>
        <w:t xml:space="preserve"> 18(1).</w:t>
      </w:r>
      <w:bookmarkEnd w:id="51"/>
      <w:r w:rsidRPr="00676C38">
        <w:rPr>
          <w:noProof/>
        </w:rPr>
        <w:t xml:space="preserve"> </w:t>
      </w:r>
    </w:p>
    <w:p w14:paraId="4E0430C3" w14:textId="77777777" w:rsidR="00EA07AF" w:rsidRPr="00676C38" w:rsidRDefault="00F039DE" w:rsidP="00A024EF">
      <w:pPr>
        <w:rPr>
          <w:noProof/>
        </w:rPr>
      </w:pPr>
      <w:bookmarkStart w:id="52" w:name="_Ref436778345"/>
      <w:r w:rsidRPr="00676C38">
        <w:rPr>
          <w:noProof/>
        </w:rPr>
        <w:t xml:space="preserve">EFSA 2009. </w:t>
      </w:r>
      <w:hyperlink r:id="rId41" w:history="1">
        <w:r w:rsidRPr="00953FAC">
          <w:rPr>
            <w:rStyle w:val="Hyperlink"/>
            <w:noProof/>
          </w:rPr>
          <w:t>Conclusion on the peer review of the pesticide risk assessment of the active substance picloram</w:t>
        </w:r>
      </w:hyperlink>
      <w:r w:rsidRPr="00676C38">
        <w:rPr>
          <w:noProof/>
        </w:rPr>
        <w:t>. European Food Safety Authority</w:t>
      </w:r>
      <w:r>
        <w:rPr>
          <w:noProof/>
        </w:rPr>
        <w:t>.</w:t>
      </w:r>
      <w:r w:rsidRPr="00676C38">
        <w:rPr>
          <w:noProof/>
        </w:rPr>
        <w:t xml:space="preserve"> </w:t>
      </w:r>
      <w:r w:rsidRPr="00520FB8">
        <w:rPr>
          <w:rStyle w:val="Emphasis"/>
        </w:rPr>
        <w:t>EFSA Journal</w:t>
      </w:r>
      <w:r>
        <w:rPr>
          <w:noProof/>
        </w:rPr>
        <w:t>,</w:t>
      </w:r>
      <w:r w:rsidRPr="00676C38">
        <w:rPr>
          <w:noProof/>
        </w:rPr>
        <w:t xml:space="preserve"> 7</w:t>
      </w:r>
      <w:r>
        <w:rPr>
          <w:noProof/>
        </w:rPr>
        <w:t>,</w:t>
      </w:r>
      <w:r w:rsidRPr="00676C38">
        <w:rPr>
          <w:noProof/>
        </w:rPr>
        <w:t xml:space="preserve"> 1390</w:t>
      </w:r>
      <w:r>
        <w:rPr>
          <w:noProof/>
        </w:rPr>
        <w:t>,</w:t>
      </w:r>
      <w:r w:rsidRPr="00676C38">
        <w:rPr>
          <w:noProof/>
        </w:rPr>
        <w:t xml:space="preserve"> 78.</w:t>
      </w:r>
      <w:bookmarkEnd w:id="52"/>
    </w:p>
    <w:p w14:paraId="4E0430C4" w14:textId="77777777" w:rsidR="00EA07AF" w:rsidRPr="00BE421C" w:rsidRDefault="00F039DE" w:rsidP="00A024EF">
      <w:pPr>
        <w:rPr>
          <w:noProof/>
        </w:rPr>
      </w:pPr>
      <w:bookmarkStart w:id="53" w:name="_Ref437353257"/>
      <w:bookmarkStart w:id="54" w:name="_Ref437290162"/>
      <w:bookmarkStart w:id="55" w:name="_Ref436775097"/>
      <w:bookmarkStart w:id="56" w:name="_Ref436773384"/>
      <w:r w:rsidRPr="00BE421C">
        <w:rPr>
          <w:noProof/>
        </w:rPr>
        <w:t>Fairchild</w:t>
      </w:r>
      <w:r>
        <w:rPr>
          <w:noProof/>
        </w:rPr>
        <w:t>,</w:t>
      </w:r>
      <w:r w:rsidRPr="00BE421C">
        <w:rPr>
          <w:noProof/>
        </w:rPr>
        <w:t xml:space="preserve"> JF, Allert</w:t>
      </w:r>
      <w:r>
        <w:rPr>
          <w:noProof/>
        </w:rPr>
        <w:t>,</w:t>
      </w:r>
      <w:r w:rsidRPr="00BE421C">
        <w:rPr>
          <w:noProof/>
        </w:rPr>
        <w:t xml:space="preserve"> A, Sappington</w:t>
      </w:r>
      <w:r>
        <w:rPr>
          <w:noProof/>
        </w:rPr>
        <w:t>,</w:t>
      </w:r>
      <w:r w:rsidRPr="00BE421C">
        <w:rPr>
          <w:noProof/>
        </w:rPr>
        <w:t xml:space="preserve"> LS, Nelson</w:t>
      </w:r>
      <w:r>
        <w:rPr>
          <w:noProof/>
        </w:rPr>
        <w:t>,</w:t>
      </w:r>
      <w:r w:rsidRPr="00BE421C">
        <w:rPr>
          <w:noProof/>
        </w:rPr>
        <w:t xml:space="preserve"> KJ </w:t>
      </w:r>
      <w:r>
        <w:rPr>
          <w:noProof/>
        </w:rPr>
        <w:t>&amp;</w:t>
      </w:r>
      <w:r w:rsidRPr="00BE421C">
        <w:rPr>
          <w:noProof/>
        </w:rPr>
        <w:t xml:space="preserve"> Valle</w:t>
      </w:r>
      <w:r>
        <w:rPr>
          <w:noProof/>
        </w:rPr>
        <w:t>,</w:t>
      </w:r>
      <w:r w:rsidRPr="00BE421C">
        <w:rPr>
          <w:noProof/>
        </w:rPr>
        <w:t xml:space="preserve"> J 2007. Using accelerated life testing procedures to compare the relative sensitivity of rainbow trout and the federally listed threatened bull trout to three commonly used rangeland herbicides (Picloram, 2,4-D, and clopyralid). </w:t>
      </w:r>
      <w:r w:rsidRPr="00520FB8">
        <w:rPr>
          <w:rStyle w:val="Emphasis"/>
        </w:rPr>
        <w:t>Environmental Toxicology and Chemistry</w:t>
      </w:r>
      <w:r>
        <w:rPr>
          <w:noProof/>
        </w:rPr>
        <w:t>,</w:t>
      </w:r>
      <w:r w:rsidRPr="00BE421C">
        <w:rPr>
          <w:noProof/>
        </w:rPr>
        <w:t xml:space="preserve"> 27</w:t>
      </w:r>
      <w:r>
        <w:rPr>
          <w:noProof/>
        </w:rPr>
        <w:t>,</w:t>
      </w:r>
      <w:r w:rsidRPr="00BE421C">
        <w:rPr>
          <w:noProof/>
        </w:rPr>
        <w:t xml:space="preserve"> 623</w:t>
      </w:r>
      <w:r>
        <w:rPr>
          <w:noProof/>
        </w:rPr>
        <w:t>–</w:t>
      </w:r>
      <w:r w:rsidRPr="00BE421C">
        <w:rPr>
          <w:noProof/>
        </w:rPr>
        <w:t>630</w:t>
      </w:r>
      <w:bookmarkEnd w:id="53"/>
      <w:r w:rsidRPr="00BE421C">
        <w:rPr>
          <w:noProof/>
        </w:rPr>
        <w:t>.</w:t>
      </w:r>
    </w:p>
    <w:p w14:paraId="4E0430C5" w14:textId="77777777" w:rsidR="00EA07AF" w:rsidRPr="00BE421C" w:rsidRDefault="00F039DE" w:rsidP="00A024EF">
      <w:pPr>
        <w:rPr>
          <w:noProof/>
        </w:rPr>
      </w:pPr>
      <w:r w:rsidRPr="00BE421C">
        <w:rPr>
          <w:noProof/>
        </w:rPr>
        <w:t>FAO 2012. Picloram.</w:t>
      </w:r>
      <w:r>
        <w:rPr>
          <w:noProof/>
        </w:rPr>
        <w:t xml:space="preserve"> </w:t>
      </w:r>
      <w:r w:rsidRPr="00BE421C">
        <w:rPr>
          <w:noProof/>
        </w:rPr>
        <w:t>FAO Specifications and Evaluations for Agricultural Pesticides. Food and Agriculture Organisation of the United Nations</w:t>
      </w:r>
      <w:bookmarkEnd w:id="54"/>
      <w:r>
        <w:rPr>
          <w:noProof/>
        </w:rPr>
        <w:t>.</w:t>
      </w:r>
    </w:p>
    <w:p w14:paraId="4E0430C6" w14:textId="77777777" w:rsidR="00EA07AF" w:rsidRPr="00BE421C" w:rsidRDefault="00F039DE" w:rsidP="00A024EF">
      <w:pPr>
        <w:rPr>
          <w:noProof/>
        </w:rPr>
      </w:pPr>
      <w:bookmarkStart w:id="57" w:name="_Ref437358498"/>
      <w:r w:rsidRPr="00BE421C">
        <w:rPr>
          <w:noProof/>
        </w:rPr>
        <w:t>Forsyth</w:t>
      </w:r>
      <w:r>
        <w:rPr>
          <w:noProof/>
        </w:rPr>
        <w:t>,</w:t>
      </w:r>
      <w:r w:rsidRPr="00BE421C">
        <w:rPr>
          <w:noProof/>
        </w:rPr>
        <w:t xml:space="preserve"> DJ, Martin</w:t>
      </w:r>
      <w:r>
        <w:rPr>
          <w:noProof/>
        </w:rPr>
        <w:t>,</w:t>
      </w:r>
      <w:r w:rsidRPr="00BE421C">
        <w:rPr>
          <w:noProof/>
        </w:rPr>
        <w:t xml:space="preserve"> PA</w:t>
      </w:r>
      <w:r>
        <w:rPr>
          <w:noProof/>
        </w:rPr>
        <w:t xml:space="preserve"> &amp;</w:t>
      </w:r>
      <w:r w:rsidRPr="00BE421C">
        <w:rPr>
          <w:noProof/>
        </w:rPr>
        <w:t xml:space="preserve"> Shaw</w:t>
      </w:r>
      <w:r>
        <w:rPr>
          <w:noProof/>
        </w:rPr>
        <w:t>,</w:t>
      </w:r>
      <w:r w:rsidRPr="00BE421C">
        <w:rPr>
          <w:noProof/>
        </w:rPr>
        <w:t xml:space="preserve"> GG 1997. Effects of herbicides on two submersed aquatic macrophytes, </w:t>
      </w:r>
      <w:r w:rsidRPr="0061206E">
        <w:rPr>
          <w:rStyle w:val="Emphasis"/>
        </w:rPr>
        <w:t>Potamogeton pectinatus</w:t>
      </w:r>
      <w:r w:rsidRPr="00BE421C">
        <w:rPr>
          <w:noProof/>
        </w:rPr>
        <w:t xml:space="preserve"> L. and </w:t>
      </w:r>
      <w:r w:rsidRPr="0061206E">
        <w:rPr>
          <w:rStyle w:val="Emphasis"/>
        </w:rPr>
        <w:t>Myriophyllum sibiricum</w:t>
      </w:r>
      <w:r w:rsidRPr="00BE421C">
        <w:rPr>
          <w:noProof/>
        </w:rPr>
        <w:t xml:space="preserve"> Komarov, in a prairie wetland. </w:t>
      </w:r>
      <w:r w:rsidRPr="0061206E">
        <w:rPr>
          <w:rStyle w:val="Emphasis"/>
        </w:rPr>
        <w:t>Environmental Pollution</w:t>
      </w:r>
      <w:r>
        <w:rPr>
          <w:noProof/>
        </w:rPr>
        <w:t>,</w:t>
      </w:r>
      <w:r w:rsidRPr="00BE421C">
        <w:rPr>
          <w:noProof/>
        </w:rPr>
        <w:t xml:space="preserve"> 95</w:t>
      </w:r>
      <w:r>
        <w:rPr>
          <w:noProof/>
        </w:rPr>
        <w:t>,</w:t>
      </w:r>
      <w:r w:rsidRPr="00BE421C">
        <w:rPr>
          <w:noProof/>
        </w:rPr>
        <w:t xml:space="preserve"> 259</w:t>
      </w:r>
      <w:r>
        <w:rPr>
          <w:noProof/>
        </w:rPr>
        <w:t>–</w:t>
      </w:r>
      <w:r w:rsidRPr="00BE421C">
        <w:rPr>
          <w:noProof/>
        </w:rPr>
        <w:t>268</w:t>
      </w:r>
      <w:bookmarkEnd w:id="57"/>
      <w:r w:rsidRPr="00BE421C">
        <w:rPr>
          <w:noProof/>
        </w:rPr>
        <w:t>.</w:t>
      </w:r>
    </w:p>
    <w:p w14:paraId="4E0430C7" w14:textId="77777777" w:rsidR="00EA07AF" w:rsidRPr="00BE421C" w:rsidRDefault="00F039DE" w:rsidP="00A024EF">
      <w:pPr>
        <w:rPr>
          <w:noProof/>
        </w:rPr>
      </w:pPr>
      <w:r w:rsidRPr="00BE421C">
        <w:rPr>
          <w:noProof/>
        </w:rPr>
        <w:t>FWPRDC 2006. The use of chemical pesticides by the Australian plantation forest industry. Sustainable Forest Management Project Number PN06.4016. September 2006.</w:t>
      </w:r>
      <w:bookmarkEnd w:id="55"/>
      <w:r w:rsidRPr="0061206E">
        <w:rPr>
          <w:noProof/>
        </w:rPr>
        <w:t xml:space="preserve"> </w:t>
      </w:r>
      <w:r w:rsidRPr="00BE421C">
        <w:rPr>
          <w:noProof/>
        </w:rPr>
        <w:t>Forest and Wood Products Research and Development Corporation</w:t>
      </w:r>
      <w:r>
        <w:rPr>
          <w:noProof/>
        </w:rPr>
        <w:t>.</w:t>
      </w:r>
    </w:p>
    <w:p w14:paraId="4E0430C8" w14:textId="77777777" w:rsidR="00EA07AF" w:rsidRPr="00BE421C" w:rsidRDefault="00F039DE" w:rsidP="00A024EF">
      <w:pPr>
        <w:rPr>
          <w:noProof/>
        </w:rPr>
      </w:pPr>
      <w:bookmarkStart w:id="58" w:name="_Ref437286972"/>
      <w:r w:rsidRPr="00BE421C">
        <w:rPr>
          <w:noProof/>
        </w:rPr>
        <w:lastRenderedPageBreak/>
        <w:t xml:space="preserve">Garten, CT 1990. Multispecies methods for testing for toxicity: Use of the rhizobium-legume symbiosis in nitrogen fixation and correlations between responses by algae and terrestrial plants. </w:t>
      </w:r>
      <w:r w:rsidRPr="00DB4C45">
        <w:rPr>
          <w:rStyle w:val="Emphasis"/>
        </w:rPr>
        <w:t>ASTM Spec. Tech. Publ.</w:t>
      </w:r>
      <w:r>
        <w:rPr>
          <w:noProof/>
        </w:rPr>
        <w:t>,</w:t>
      </w:r>
      <w:r w:rsidRPr="00BE421C">
        <w:rPr>
          <w:noProof/>
        </w:rPr>
        <w:t xml:space="preserve"> 69</w:t>
      </w:r>
      <w:r>
        <w:rPr>
          <w:noProof/>
        </w:rPr>
        <w:t>–</w:t>
      </w:r>
      <w:r w:rsidRPr="00BE421C">
        <w:rPr>
          <w:noProof/>
        </w:rPr>
        <w:t>84.</w:t>
      </w:r>
    </w:p>
    <w:p w14:paraId="4E0430C9" w14:textId="77777777" w:rsidR="00EA07AF" w:rsidRDefault="00F039DE" w:rsidP="00A024EF">
      <w:pPr>
        <w:rPr>
          <w:noProof/>
        </w:rPr>
      </w:pPr>
      <w:r w:rsidRPr="00BE421C">
        <w:rPr>
          <w:noProof/>
        </w:rPr>
        <w:t>Gersich</w:t>
      </w:r>
      <w:r>
        <w:rPr>
          <w:noProof/>
        </w:rPr>
        <w:t>,</w:t>
      </w:r>
      <w:r w:rsidRPr="00BE421C">
        <w:rPr>
          <w:noProof/>
        </w:rPr>
        <w:t xml:space="preserve"> FM, Hopkins</w:t>
      </w:r>
      <w:r>
        <w:rPr>
          <w:noProof/>
        </w:rPr>
        <w:t>,</w:t>
      </w:r>
      <w:r w:rsidRPr="00BE421C">
        <w:rPr>
          <w:noProof/>
        </w:rPr>
        <w:t xml:space="preserve"> DL</w:t>
      </w:r>
      <w:r>
        <w:rPr>
          <w:noProof/>
        </w:rPr>
        <w:t xml:space="preserve"> &amp;</w:t>
      </w:r>
      <w:r w:rsidRPr="00BE421C">
        <w:rPr>
          <w:noProof/>
        </w:rPr>
        <w:t xml:space="preserve"> Milazzo</w:t>
      </w:r>
      <w:r>
        <w:rPr>
          <w:noProof/>
        </w:rPr>
        <w:t>,</w:t>
      </w:r>
      <w:r w:rsidRPr="00BE421C">
        <w:rPr>
          <w:noProof/>
        </w:rPr>
        <w:t xml:space="preserve"> DP 1985. Acute and chronic toxicity of technical picloram (4-amino-3,5,6-trichloropicolinic acid) to </w:t>
      </w:r>
      <w:r w:rsidRPr="00DB4C45">
        <w:rPr>
          <w:rStyle w:val="Emphasis"/>
        </w:rPr>
        <w:t>Daphnia magna</w:t>
      </w:r>
      <w:r w:rsidRPr="00BE421C">
        <w:rPr>
          <w:noProof/>
        </w:rPr>
        <w:t xml:space="preserve"> Straus. </w:t>
      </w:r>
      <w:r w:rsidRPr="00DB4C45">
        <w:rPr>
          <w:rStyle w:val="Emphasis"/>
        </w:rPr>
        <w:t>Bulletin of Environmental Contamination and Toxicology</w:t>
      </w:r>
      <w:r>
        <w:rPr>
          <w:noProof/>
        </w:rPr>
        <w:t>,</w:t>
      </w:r>
      <w:r w:rsidRPr="00BE421C">
        <w:rPr>
          <w:noProof/>
        </w:rPr>
        <w:t xml:space="preserve"> 35</w:t>
      </w:r>
      <w:r>
        <w:rPr>
          <w:noProof/>
        </w:rPr>
        <w:t>,</w:t>
      </w:r>
      <w:r w:rsidRPr="00BE421C">
        <w:rPr>
          <w:noProof/>
        </w:rPr>
        <w:t xml:space="preserve"> 121</w:t>
      </w:r>
      <w:r>
        <w:rPr>
          <w:noProof/>
        </w:rPr>
        <w:t>–</w:t>
      </w:r>
      <w:r w:rsidRPr="00BE421C">
        <w:rPr>
          <w:noProof/>
        </w:rPr>
        <w:t>126</w:t>
      </w:r>
      <w:bookmarkStart w:id="59" w:name="_Ref437358553"/>
      <w:r w:rsidRPr="00BE421C">
        <w:rPr>
          <w:noProof/>
        </w:rPr>
        <w:t xml:space="preserve">. </w:t>
      </w:r>
      <w:bookmarkEnd w:id="59"/>
    </w:p>
    <w:p w14:paraId="4E0430CA" w14:textId="77777777" w:rsidR="00EA07AF" w:rsidRPr="00BE421C" w:rsidRDefault="00F039DE" w:rsidP="00A024EF">
      <w:pPr>
        <w:rPr>
          <w:noProof/>
        </w:rPr>
      </w:pPr>
      <w:r w:rsidRPr="00BE421C">
        <w:rPr>
          <w:noProof/>
        </w:rPr>
        <w:t>Haas, RH, Scifres</w:t>
      </w:r>
      <w:r>
        <w:rPr>
          <w:noProof/>
        </w:rPr>
        <w:t>,</w:t>
      </w:r>
      <w:r w:rsidRPr="00BE421C">
        <w:rPr>
          <w:noProof/>
        </w:rPr>
        <w:t xml:space="preserve"> CJ, Merkle</w:t>
      </w:r>
      <w:r>
        <w:rPr>
          <w:noProof/>
        </w:rPr>
        <w:t>,</w:t>
      </w:r>
      <w:r w:rsidRPr="00BE421C">
        <w:rPr>
          <w:noProof/>
        </w:rPr>
        <w:t xml:space="preserve"> MG, Hahn</w:t>
      </w:r>
      <w:r>
        <w:rPr>
          <w:noProof/>
        </w:rPr>
        <w:t>,</w:t>
      </w:r>
      <w:r w:rsidRPr="00BE421C">
        <w:rPr>
          <w:noProof/>
        </w:rPr>
        <w:t xml:space="preserve"> RR</w:t>
      </w:r>
      <w:r>
        <w:rPr>
          <w:noProof/>
        </w:rPr>
        <w:t xml:space="preserve"> &amp;</w:t>
      </w:r>
      <w:r w:rsidRPr="00BE421C">
        <w:rPr>
          <w:noProof/>
        </w:rPr>
        <w:t xml:space="preserve"> Hoffman</w:t>
      </w:r>
      <w:r>
        <w:rPr>
          <w:noProof/>
        </w:rPr>
        <w:t>,</w:t>
      </w:r>
      <w:r w:rsidRPr="00BE421C">
        <w:rPr>
          <w:noProof/>
        </w:rPr>
        <w:t xml:space="preserve"> GO 1971. Occurrence and persistence of picloram in grassland water sources. </w:t>
      </w:r>
      <w:r w:rsidRPr="00BB5DAC">
        <w:rPr>
          <w:rStyle w:val="Emphasis"/>
        </w:rPr>
        <w:t>Weed Research</w:t>
      </w:r>
      <w:r>
        <w:rPr>
          <w:noProof/>
        </w:rPr>
        <w:t>,</w:t>
      </w:r>
      <w:r w:rsidRPr="00BE421C">
        <w:rPr>
          <w:noProof/>
        </w:rPr>
        <w:t xml:space="preserve"> 11</w:t>
      </w:r>
      <w:r>
        <w:rPr>
          <w:noProof/>
        </w:rPr>
        <w:t>,</w:t>
      </w:r>
      <w:r w:rsidRPr="00BE421C">
        <w:rPr>
          <w:noProof/>
        </w:rPr>
        <w:t xml:space="preserve"> 54</w:t>
      </w:r>
      <w:r>
        <w:rPr>
          <w:noProof/>
        </w:rPr>
        <w:t>–</w:t>
      </w:r>
      <w:r w:rsidRPr="00BE421C">
        <w:rPr>
          <w:noProof/>
        </w:rPr>
        <w:t>62.</w:t>
      </w:r>
    </w:p>
    <w:p w14:paraId="4E0430CB" w14:textId="77777777" w:rsidR="00EA07AF" w:rsidRDefault="00F039DE" w:rsidP="00A024EF">
      <w:pPr>
        <w:rPr>
          <w:noProof/>
        </w:rPr>
      </w:pPr>
      <w:bookmarkStart w:id="60" w:name="_Ref437288084"/>
      <w:bookmarkEnd w:id="58"/>
      <w:r w:rsidRPr="00BE421C">
        <w:rPr>
          <w:noProof/>
        </w:rPr>
        <w:t>Hall, RC, Giam</w:t>
      </w:r>
      <w:r>
        <w:rPr>
          <w:noProof/>
        </w:rPr>
        <w:t>,</w:t>
      </w:r>
      <w:r w:rsidRPr="00BE421C">
        <w:rPr>
          <w:noProof/>
        </w:rPr>
        <w:t xml:space="preserve"> CS</w:t>
      </w:r>
      <w:r>
        <w:rPr>
          <w:noProof/>
        </w:rPr>
        <w:t xml:space="preserve"> &amp;</w:t>
      </w:r>
      <w:r w:rsidRPr="00BE421C">
        <w:rPr>
          <w:noProof/>
        </w:rPr>
        <w:t xml:space="preserve"> Merkle</w:t>
      </w:r>
      <w:r>
        <w:rPr>
          <w:noProof/>
        </w:rPr>
        <w:t>,</w:t>
      </w:r>
      <w:r w:rsidRPr="00BE421C">
        <w:rPr>
          <w:noProof/>
        </w:rPr>
        <w:t xml:space="preserve"> MG </w:t>
      </w:r>
      <w:r>
        <w:rPr>
          <w:noProof/>
        </w:rPr>
        <w:t xml:space="preserve">1968. </w:t>
      </w:r>
      <w:r w:rsidRPr="00BE421C">
        <w:rPr>
          <w:noProof/>
        </w:rPr>
        <w:t xml:space="preserve">The photolytic degradation of picloram. </w:t>
      </w:r>
      <w:r w:rsidRPr="006034A7">
        <w:rPr>
          <w:rStyle w:val="Emphasis"/>
        </w:rPr>
        <w:t>Weed Research</w:t>
      </w:r>
      <w:r>
        <w:rPr>
          <w:noProof/>
        </w:rPr>
        <w:t>,</w:t>
      </w:r>
      <w:r w:rsidRPr="00BE421C">
        <w:rPr>
          <w:noProof/>
        </w:rPr>
        <w:t xml:space="preserve"> 8</w:t>
      </w:r>
      <w:r>
        <w:rPr>
          <w:noProof/>
        </w:rPr>
        <w:t>,</w:t>
      </w:r>
      <w:r w:rsidRPr="00BE421C">
        <w:rPr>
          <w:noProof/>
        </w:rPr>
        <w:t xml:space="preserve"> 292</w:t>
      </w:r>
      <w:r>
        <w:rPr>
          <w:noProof/>
        </w:rPr>
        <w:t>–</w:t>
      </w:r>
      <w:r w:rsidRPr="00BE421C">
        <w:rPr>
          <w:noProof/>
        </w:rPr>
        <w:t>297.</w:t>
      </w:r>
      <w:bookmarkEnd w:id="60"/>
      <w:r w:rsidRPr="00BE421C">
        <w:rPr>
          <w:noProof/>
        </w:rPr>
        <w:t xml:space="preserve"> </w:t>
      </w:r>
    </w:p>
    <w:p w14:paraId="4E0430CC" w14:textId="77777777" w:rsidR="00EA07AF" w:rsidRPr="00BE421C" w:rsidRDefault="00F039DE" w:rsidP="00A024EF">
      <w:pPr>
        <w:rPr>
          <w:noProof/>
        </w:rPr>
      </w:pPr>
      <w:r>
        <w:rPr>
          <w:noProof/>
        </w:rPr>
        <w:t xml:space="preserve">Hamilton, DJ 1980. </w:t>
      </w:r>
      <w:r w:rsidRPr="00070A7B">
        <w:rPr>
          <w:noProof/>
        </w:rPr>
        <w:t>Gas chromatographic measurement of volatility of herbicide esters</w:t>
      </w:r>
      <w:r>
        <w:rPr>
          <w:noProof/>
        </w:rPr>
        <w:t xml:space="preserve">. </w:t>
      </w:r>
      <w:r w:rsidRPr="006034A7">
        <w:rPr>
          <w:rStyle w:val="Emphasis"/>
        </w:rPr>
        <w:t>Journal of Chromatography</w:t>
      </w:r>
      <w:r>
        <w:rPr>
          <w:noProof/>
        </w:rPr>
        <w:t>, 195, 75–83.</w:t>
      </w:r>
    </w:p>
    <w:p w14:paraId="4E0430CD" w14:textId="77777777" w:rsidR="00EA07AF" w:rsidRPr="00BE421C" w:rsidRDefault="00F039DE" w:rsidP="00A024EF">
      <w:pPr>
        <w:rPr>
          <w:noProof/>
        </w:rPr>
      </w:pPr>
      <w:r w:rsidRPr="00B66EFC">
        <w:rPr>
          <w:noProof/>
        </w:rPr>
        <w:t xml:space="preserve">Johnson, CR 1976. Herbicide toxicities in some Australian anurans and the effect of subacute doses on temperature tolerance. </w:t>
      </w:r>
      <w:r w:rsidRPr="002E0530">
        <w:rPr>
          <w:rStyle w:val="Emphasis"/>
        </w:rPr>
        <w:t>Zoological Journal of the Linnean Society</w:t>
      </w:r>
      <w:r>
        <w:rPr>
          <w:noProof/>
        </w:rPr>
        <w:t>,</w:t>
      </w:r>
      <w:r w:rsidRPr="00B66EFC">
        <w:rPr>
          <w:noProof/>
        </w:rPr>
        <w:t xml:space="preserve"> 59</w:t>
      </w:r>
      <w:r>
        <w:rPr>
          <w:noProof/>
        </w:rPr>
        <w:t>,</w:t>
      </w:r>
      <w:r w:rsidRPr="00B66EFC">
        <w:rPr>
          <w:noProof/>
        </w:rPr>
        <w:t xml:space="preserve"> 79</w:t>
      </w:r>
      <w:r>
        <w:rPr>
          <w:noProof/>
        </w:rPr>
        <w:t>–</w:t>
      </w:r>
      <w:r w:rsidRPr="00B66EFC">
        <w:rPr>
          <w:noProof/>
        </w:rPr>
        <w:t>83</w:t>
      </w:r>
      <w:r>
        <w:rPr>
          <w:noProof/>
        </w:rPr>
        <w:t>.</w:t>
      </w:r>
    </w:p>
    <w:p w14:paraId="4E0430CE" w14:textId="77777777" w:rsidR="00EA07AF" w:rsidRPr="00BE421C" w:rsidRDefault="00F039DE" w:rsidP="00A024EF">
      <w:pPr>
        <w:rPr>
          <w:noProof/>
        </w:rPr>
      </w:pPr>
      <w:r w:rsidRPr="00B66EFC">
        <w:rPr>
          <w:noProof/>
        </w:rPr>
        <w:t>Lajmanovich, RC, Junges</w:t>
      </w:r>
      <w:r>
        <w:rPr>
          <w:noProof/>
        </w:rPr>
        <w:t>,</w:t>
      </w:r>
      <w:r w:rsidRPr="00B66EFC">
        <w:rPr>
          <w:noProof/>
        </w:rPr>
        <w:t xml:space="preserve"> CM, Attademo</w:t>
      </w:r>
      <w:r>
        <w:rPr>
          <w:noProof/>
        </w:rPr>
        <w:t>,</w:t>
      </w:r>
      <w:r w:rsidRPr="00B66EFC">
        <w:rPr>
          <w:noProof/>
        </w:rPr>
        <w:t xml:space="preserve"> AM, Peltzer</w:t>
      </w:r>
      <w:r>
        <w:rPr>
          <w:noProof/>
        </w:rPr>
        <w:t>,</w:t>
      </w:r>
      <w:r w:rsidRPr="00B66EFC">
        <w:rPr>
          <w:noProof/>
        </w:rPr>
        <w:t xml:space="preserve"> PM, Cabagna-Zenklusen</w:t>
      </w:r>
      <w:r>
        <w:rPr>
          <w:noProof/>
        </w:rPr>
        <w:t>,</w:t>
      </w:r>
      <w:r w:rsidRPr="00B66EFC">
        <w:rPr>
          <w:noProof/>
        </w:rPr>
        <w:t xml:space="preserve"> MC</w:t>
      </w:r>
      <w:r>
        <w:rPr>
          <w:noProof/>
        </w:rPr>
        <w:t xml:space="preserve"> &amp;</w:t>
      </w:r>
      <w:r w:rsidRPr="00B66EFC">
        <w:rPr>
          <w:noProof/>
        </w:rPr>
        <w:t xml:space="preserve"> Basso</w:t>
      </w:r>
      <w:r>
        <w:rPr>
          <w:noProof/>
        </w:rPr>
        <w:t>,</w:t>
      </w:r>
      <w:r w:rsidRPr="00B66EFC">
        <w:rPr>
          <w:noProof/>
        </w:rPr>
        <w:t xml:space="preserve"> A 2013. Individual and mixture toxicity of commercial formulations containing glyphosate, metsulfuron-methyl, bispyribac-sodium, and picloram on </w:t>
      </w:r>
      <w:r w:rsidRPr="0023184F">
        <w:rPr>
          <w:rStyle w:val="Emphasis"/>
        </w:rPr>
        <w:t>Rhinella arenarum</w:t>
      </w:r>
      <w:r w:rsidRPr="00B66EFC">
        <w:rPr>
          <w:noProof/>
        </w:rPr>
        <w:t xml:space="preserve"> tadpoles. </w:t>
      </w:r>
      <w:r w:rsidRPr="0023184F">
        <w:rPr>
          <w:rStyle w:val="Emphasis"/>
        </w:rPr>
        <w:t>Water, Air and Soil Pollution</w:t>
      </w:r>
      <w:r>
        <w:rPr>
          <w:noProof/>
        </w:rPr>
        <w:t>,</w:t>
      </w:r>
      <w:r w:rsidRPr="00B66EFC">
        <w:rPr>
          <w:noProof/>
        </w:rPr>
        <w:t xml:space="preserve"> 224</w:t>
      </w:r>
      <w:r>
        <w:rPr>
          <w:noProof/>
        </w:rPr>
        <w:t>,</w:t>
      </w:r>
      <w:r w:rsidRPr="00B66EFC">
        <w:rPr>
          <w:noProof/>
        </w:rPr>
        <w:t xml:space="preserve"> 1404</w:t>
      </w:r>
      <w:r>
        <w:rPr>
          <w:noProof/>
        </w:rPr>
        <w:t>.</w:t>
      </w:r>
    </w:p>
    <w:p w14:paraId="4E0430CF" w14:textId="77777777" w:rsidR="00EA07AF" w:rsidRPr="00BE421C" w:rsidRDefault="00F039DE" w:rsidP="00A024EF">
      <w:pPr>
        <w:rPr>
          <w:noProof/>
        </w:rPr>
      </w:pPr>
      <w:bookmarkStart w:id="61" w:name="_Ref437291088"/>
      <w:r w:rsidRPr="00BE421C">
        <w:rPr>
          <w:noProof/>
        </w:rPr>
        <w:t>Mayes</w:t>
      </w:r>
      <w:r>
        <w:rPr>
          <w:noProof/>
        </w:rPr>
        <w:t>,</w:t>
      </w:r>
      <w:r w:rsidRPr="00BE421C">
        <w:rPr>
          <w:noProof/>
        </w:rPr>
        <w:t xml:space="preserve"> MA</w:t>
      </w:r>
      <w:r>
        <w:rPr>
          <w:noProof/>
        </w:rPr>
        <w:t xml:space="preserve"> &amp;</w:t>
      </w:r>
      <w:r w:rsidRPr="00BE421C">
        <w:rPr>
          <w:noProof/>
        </w:rPr>
        <w:t xml:space="preserve"> Dill</w:t>
      </w:r>
      <w:r>
        <w:rPr>
          <w:noProof/>
        </w:rPr>
        <w:t>,</w:t>
      </w:r>
      <w:r w:rsidRPr="00BE421C">
        <w:rPr>
          <w:noProof/>
        </w:rPr>
        <w:t xml:space="preserve"> DC 1984. The acute toxicity of picloram, picloram potassium salt, and picloram triisoprapanolamine salt to aquatic organisms. </w:t>
      </w:r>
      <w:r w:rsidRPr="008F6525">
        <w:rPr>
          <w:rStyle w:val="Emphasis"/>
        </w:rPr>
        <w:t>Environmental Toxicology and Chemistry</w:t>
      </w:r>
      <w:r>
        <w:rPr>
          <w:noProof/>
        </w:rPr>
        <w:t>,</w:t>
      </w:r>
      <w:r w:rsidRPr="00BE421C">
        <w:rPr>
          <w:noProof/>
        </w:rPr>
        <w:t xml:space="preserve"> 3</w:t>
      </w:r>
      <w:r>
        <w:rPr>
          <w:noProof/>
        </w:rPr>
        <w:t>,</w:t>
      </w:r>
      <w:r w:rsidRPr="00BE421C">
        <w:rPr>
          <w:noProof/>
        </w:rPr>
        <w:t xml:space="preserve"> 263</w:t>
      </w:r>
      <w:r>
        <w:rPr>
          <w:noProof/>
        </w:rPr>
        <w:t>–</w:t>
      </w:r>
      <w:r w:rsidRPr="00BE421C">
        <w:rPr>
          <w:noProof/>
        </w:rPr>
        <w:t xml:space="preserve">269. </w:t>
      </w:r>
    </w:p>
    <w:p w14:paraId="4E0430D0" w14:textId="77777777" w:rsidR="00EA07AF" w:rsidRPr="00BE421C" w:rsidRDefault="00F039DE" w:rsidP="00A024EF">
      <w:pPr>
        <w:rPr>
          <w:noProof/>
        </w:rPr>
      </w:pPr>
      <w:r w:rsidRPr="00BE421C">
        <w:rPr>
          <w:noProof/>
        </w:rPr>
        <w:t>Mayes</w:t>
      </w:r>
      <w:r>
        <w:rPr>
          <w:noProof/>
        </w:rPr>
        <w:t>,</w:t>
      </w:r>
      <w:r w:rsidRPr="00BE421C">
        <w:rPr>
          <w:noProof/>
        </w:rPr>
        <w:t xml:space="preserve"> MA, Hopkins</w:t>
      </w:r>
      <w:r>
        <w:rPr>
          <w:noProof/>
        </w:rPr>
        <w:t>,</w:t>
      </w:r>
      <w:r w:rsidRPr="00BE421C">
        <w:rPr>
          <w:noProof/>
        </w:rPr>
        <w:t xml:space="preserve"> DL</w:t>
      </w:r>
      <w:r>
        <w:rPr>
          <w:noProof/>
        </w:rPr>
        <w:t xml:space="preserve"> &amp;</w:t>
      </w:r>
      <w:r w:rsidRPr="00BE421C">
        <w:rPr>
          <w:noProof/>
        </w:rPr>
        <w:t xml:space="preserve"> Dill</w:t>
      </w:r>
      <w:r>
        <w:rPr>
          <w:noProof/>
        </w:rPr>
        <w:t>,</w:t>
      </w:r>
      <w:r w:rsidRPr="00BE421C">
        <w:rPr>
          <w:noProof/>
        </w:rPr>
        <w:t xml:space="preserve"> DC 1987. Toxicity of picloram (4-amino-3,5,6-trichloropicolinic acid) to life stages of the rainbow trout. </w:t>
      </w:r>
      <w:r w:rsidRPr="00AA44F4">
        <w:rPr>
          <w:rStyle w:val="Emphasis"/>
        </w:rPr>
        <w:t>Bulletin of Environmental Contamination and Toxicology</w:t>
      </w:r>
      <w:r>
        <w:rPr>
          <w:noProof/>
        </w:rPr>
        <w:t>,</w:t>
      </w:r>
      <w:r w:rsidRPr="00BE421C">
        <w:rPr>
          <w:noProof/>
        </w:rPr>
        <w:t xml:space="preserve"> 38</w:t>
      </w:r>
      <w:r>
        <w:rPr>
          <w:noProof/>
        </w:rPr>
        <w:t>,</w:t>
      </w:r>
      <w:r w:rsidRPr="00BE421C">
        <w:rPr>
          <w:noProof/>
        </w:rPr>
        <w:t xml:space="preserve"> 653</w:t>
      </w:r>
      <w:r>
        <w:rPr>
          <w:noProof/>
        </w:rPr>
        <w:t>–</w:t>
      </w:r>
      <w:r w:rsidRPr="00BE421C">
        <w:rPr>
          <w:noProof/>
        </w:rPr>
        <w:t>660.</w:t>
      </w:r>
    </w:p>
    <w:p w14:paraId="4E0430D1" w14:textId="77777777" w:rsidR="00EA07AF" w:rsidRPr="00BE421C" w:rsidRDefault="00F039DE" w:rsidP="00A024EF">
      <w:pPr>
        <w:rPr>
          <w:noProof/>
        </w:rPr>
      </w:pPr>
      <w:bookmarkStart w:id="62" w:name="_Ref485225474"/>
      <w:r w:rsidRPr="00BE421C">
        <w:rPr>
          <w:noProof/>
        </w:rPr>
        <w:t>Mayes,MA</w:t>
      </w:r>
      <w:r>
        <w:rPr>
          <w:noProof/>
        </w:rPr>
        <w:t xml:space="preserve"> &amp;</w:t>
      </w:r>
      <w:r w:rsidRPr="00BE421C">
        <w:rPr>
          <w:noProof/>
        </w:rPr>
        <w:t xml:space="preserve"> Oliver</w:t>
      </w:r>
      <w:r>
        <w:rPr>
          <w:noProof/>
        </w:rPr>
        <w:t>,</w:t>
      </w:r>
      <w:r w:rsidRPr="00BE421C">
        <w:rPr>
          <w:noProof/>
        </w:rPr>
        <w:t xml:space="preserve"> GR 1985. An aquatic hazard assessment: Picloram. </w:t>
      </w:r>
      <w:r w:rsidRPr="00F17716">
        <w:rPr>
          <w:rStyle w:val="Emphasis"/>
        </w:rPr>
        <w:t>ASTM Spec. Tech. Publ.</w:t>
      </w:r>
      <w:r>
        <w:rPr>
          <w:noProof/>
        </w:rPr>
        <w:t>,</w:t>
      </w:r>
      <w:r w:rsidRPr="00BE421C">
        <w:rPr>
          <w:noProof/>
        </w:rPr>
        <w:t xml:space="preserve"> </w:t>
      </w:r>
      <w:r>
        <w:rPr>
          <w:noProof/>
        </w:rPr>
        <w:t xml:space="preserve">891, </w:t>
      </w:r>
      <w:r w:rsidRPr="00BE421C">
        <w:rPr>
          <w:noProof/>
        </w:rPr>
        <w:t>253</w:t>
      </w:r>
      <w:r>
        <w:rPr>
          <w:noProof/>
        </w:rPr>
        <w:t>–</w:t>
      </w:r>
      <w:r w:rsidRPr="00BE421C">
        <w:rPr>
          <w:noProof/>
        </w:rPr>
        <w:t>269.</w:t>
      </w:r>
      <w:bookmarkEnd w:id="62"/>
    </w:p>
    <w:p w14:paraId="4E0430D2" w14:textId="77777777" w:rsidR="00EA07AF" w:rsidRDefault="00F039DE" w:rsidP="00A024EF">
      <w:pPr>
        <w:rPr>
          <w:noProof/>
        </w:rPr>
      </w:pPr>
      <w:r w:rsidRPr="00BE421C">
        <w:rPr>
          <w:noProof/>
        </w:rPr>
        <w:t>Moore, JH, Rayner</w:t>
      </w:r>
      <w:r>
        <w:rPr>
          <w:noProof/>
        </w:rPr>
        <w:t>,</w:t>
      </w:r>
      <w:r w:rsidRPr="00BE421C">
        <w:rPr>
          <w:noProof/>
        </w:rPr>
        <w:t xml:space="preserve"> B</w:t>
      </w:r>
      <w:r>
        <w:rPr>
          <w:noProof/>
        </w:rPr>
        <w:t xml:space="preserve"> &amp;</w:t>
      </w:r>
      <w:r w:rsidRPr="00BE421C">
        <w:rPr>
          <w:noProof/>
        </w:rPr>
        <w:t xml:space="preserve"> Vukelik</w:t>
      </w:r>
      <w:r>
        <w:rPr>
          <w:noProof/>
        </w:rPr>
        <w:t>,</w:t>
      </w:r>
      <w:r w:rsidRPr="00BE421C">
        <w:rPr>
          <w:noProof/>
        </w:rPr>
        <w:t xml:space="preserve"> B 2010. Movement of triclopyr, picloram and aminopyralid down a river after blackberry spraying. Seventeeth Australasian Weeds Conference.</w:t>
      </w:r>
      <w:bookmarkEnd w:id="61"/>
      <w:r w:rsidRPr="00BE421C">
        <w:rPr>
          <w:noProof/>
        </w:rPr>
        <w:t xml:space="preserve"> Council of Australasian Weed Societies.</w:t>
      </w:r>
    </w:p>
    <w:p w14:paraId="4E0430D3" w14:textId="77777777" w:rsidR="00EA07AF" w:rsidRDefault="00F039DE" w:rsidP="00A024EF">
      <w:pPr>
        <w:rPr>
          <w:noProof/>
        </w:rPr>
      </w:pPr>
      <w:r>
        <w:rPr>
          <w:noProof/>
        </w:rPr>
        <w:t>NCBI 2020</w:t>
      </w:r>
      <w:r w:rsidRPr="00B621A2">
        <w:rPr>
          <w:noProof/>
        </w:rPr>
        <w:t xml:space="preserve">. </w:t>
      </w:r>
      <w:hyperlink r:id="rId42" w:history="1">
        <w:r w:rsidRPr="00EF49C8">
          <w:rPr>
            <w:rStyle w:val="Hyperlink"/>
            <w:noProof/>
          </w:rPr>
          <w:t>PubChem Database: Picloram, CID=15965</w:t>
        </w:r>
      </w:hyperlink>
      <w:r>
        <w:rPr>
          <w:noProof/>
        </w:rPr>
        <w:t>.</w:t>
      </w:r>
      <w:r w:rsidRPr="00EF49C8">
        <w:rPr>
          <w:noProof/>
        </w:rPr>
        <w:t xml:space="preserve"> </w:t>
      </w:r>
      <w:r w:rsidRPr="00B621A2">
        <w:rPr>
          <w:noProof/>
        </w:rPr>
        <w:t>National Center for Biotechnology Information</w:t>
      </w:r>
      <w:r>
        <w:rPr>
          <w:noProof/>
        </w:rPr>
        <w:t>.</w:t>
      </w:r>
    </w:p>
    <w:p w14:paraId="4E0430D4" w14:textId="77777777" w:rsidR="00EA07AF" w:rsidRPr="00BE421C" w:rsidRDefault="00F039DE" w:rsidP="00A024EF">
      <w:pPr>
        <w:rPr>
          <w:noProof/>
        </w:rPr>
      </w:pPr>
      <w:r w:rsidRPr="00BE421C">
        <w:rPr>
          <w:noProof/>
        </w:rPr>
        <w:t>Peterson, HG, Boutin</w:t>
      </w:r>
      <w:r>
        <w:rPr>
          <w:noProof/>
        </w:rPr>
        <w:t>,</w:t>
      </w:r>
      <w:r w:rsidRPr="00BE421C">
        <w:rPr>
          <w:noProof/>
        </w:rPr>
        <w:t xml:space="preserve"> C, Martin</w:t>
      </w:r>
      <w:r>
        <w:rPr>
          <w:noProof/>
        </w:rPr>
        <w:t>,</w:t>
      </w:r>
      <w:r w:rsidRPr="00BE421C">
        <w:rPr>
          <w:noProof/>
        </w:rPr>
        <w:t xml:space="preserve"> PA, Freemark</w:t>
      </w:r>
      <w:r>
        <w:rPr>
          <w:noProof/>
        </w:rPr>
        <w:t>,</w:t>
      </w:r>
      <w:r w:rsidRPr="00BE421C">
        <w:rPr>
          <w:noProof/>
        </w:rPr>
        <w:t xml:space="preserve"> KE, Ruecker</w:t>
      </w:r>
      <w:r>
        <w:rPr>
          <w:noProof/>
        </w:rPr>
        <w:t>,</w:t>
      </w:r>
      <w:r w:rsidRPr="00BE421C">
        <w:rPr>
          <w:noProof/>
        </w:rPr>
        <w:t xml:space="preserve"> NJ</w:t>
      </w:r>
      <w:r>
        <w:rPr>
          <w:noProof/>
        </w:rPr>
        <w:t xml:space="preserve"> &amp;</w:t>
      </w:r>
      <w:r w:rsidRPr="00BE421C">
        <w:rPr>
          <w:noProof/>
        </w:rPr>
        <w:t xml:space="preserve"> Moody</w:t>
      </w:r>
      <w:r>
        <w:rPr>
          <w:noProof/>
        </w:rPr>
        <w:t>,</w:t>
      </w:r>
      <w:r w:rsidRPr="00BE421C">
        <w:rPr>
          <w:noProof/>
        </w:rPr>
        <w:t xml:space="preserve"> MJ 1994. Aquatic phyto-toxicity of 23 pesticides applied at Expected Environmental Concentration. </w:t>
      </w:r>
      <w:r w:rsidRPr="00684EED">
        <w:rPr>
          <w:rStyle w:val="Emphasis"/>
        </w:rPr>
        <w:t>Aquatic Toxicology</w:t>
      </w:r>
      <w:r>
        <w:rPr>
          <w:noProof/>
        </w:rPr>
        <w:t>,</w:t>
      </w:r>
      <w:r w:rsidRPr="00BE421C">
        <w:rPr>
          <w:noProof/>
        </w:rPr>
        <w:t xml:space="preserve"> 28</w:t>
      </w:r>
      <w:r>
        <w:rPr>
          <w:noProof/>
        </w:rPr>
        <w:t xml:space="preserve">, </w:t>
      </w:r>
      <w:r w:rsidRPr="00BE421C">
        <w:rPr>
          <w:noProof/>
        </w:rPr>
        <w:t>275</w:t>
      </w:r>
      <w:r>
        <w:rPr>
          <w:noProof/>
        </w:rPr>
        <w:t>–</w:t>
      </w:r>
      <w:r w:rsidRPr="00BE421C">
        <w:rPr>
          <w:noProof/>
        </w:rPr>
        <w:t>292.</w:t>
      </w:r>
    </w:p>
    <w:p w14:paraId="4E0430D5" w14:textId="77777777" w:rsidR="00EA07AF" w:rsidRPr="00BE421C" w:rsidRDefault="00F039DE" w:rsidP="00A024EF">
      <w:pPr>
        <w:rPr>
          <w:noProof/>
        </w:rPr>
      </w:pPr>
      <w:bookmarkStart w:id="63" w:name="_Ref437355211"/>
      <w:r w:rsidRPr="00BE421C">
        <w:rPr>
          <w:noProof/>
        </w:rPr>
        <w:t>Sanders</w:t>
      </w:r>
      <w:r>
        <w:rPr>
          <w:noProof/>
        </w:rPr>
        <w:t>,</w:t>
      </w:r>
      <w:r w:rsidRPr="00BE421C">
        <w:rPr>
          <w:noProof/>
        </w:rPr>
        <w:t xml:space="preserve"> HO 1969. Toxicity of pesticides to the crustacean </w:t>
      </w:r>
      <w:r w:rsidRPr="00101250">
        <w:rPr>
          <w:rStyle w:val="Emphasis"/>
        </w:rPr>
        <w:t>Gammarus lacustris</w:t>
      </w:r>
      <w:r w:rsidRPr="00BE421C">
        <w:rPr>
          <w:noProof/>
        </w:rPr>
        <w:t>. Technical Paper 25</w:t>
      </w:r>
      <w:r>
        <w:rPr>
          <w:noProof/>
        </w:rPr>
        <w:t>.</w:t>
      </w:r>
      <w:r w:rsidRPr="00BE421C">
        <w:rPr>
          <w:noProof/>
        </w:rPr>
        <w:t xml:space="preserve"> Bureau of Sport Fisheries and Wildlife</w:t>
      </w:r>
      <w:bookmarkEnd w:id="63"/>
      <w:r w:rsidRPr="00BE421C">
        <w:rPr>
          <w:noProof/>
        </w:rPr>
        <w:t>.</w:t>
      </w:r>
    </w:p>
    <w:p w14:paraId="4E0430D6" w14:textId="77777777" w:rsidR="00EA07AF" w:rsidRPr="00BE421C" w:rsidRDefault="00F039DE" w:rsidP="00A024EF">
      <w:pPr>
        <w:rPr>
          <w:noProof/>
        </w:rPr>
      </w:pPr>
      <w:bookmarkStart w:id="64" w:name="_Ref436776050"/>
      <w:r w:rsidRPr="00BE421C">
        <w:rPr>
          <w:noProof/>
        </w:rPr>
        <w:lastRenderedPageBreak/>
        <w:t>Stehr</w:t>
      </w:r>
      <w:r>
        <w:rPr>
          <w:noProof/>
        </w:rPr>
        <w:t>,</w:t>
      </w:r>
      <w:r w:rsidRPr="00BE421C">
        <w:rPr>
          <w:noProof/>
        </w:rPr>
        <w:t xml:space="preserve"> CM, Linbo</w:t>
      </w:r>
      <w:r>
        <w:rPr>
          <w:noProof/>
        </w:rPr>
        <w:t>,</w:t>
      </w:r>
      <w:r w:rsidRPr="00BE421C">
        <w:rPr>
          <w:noProof/>
        </w:rPr>
        <w:t xml:space="preserve"> TL, Baldwin</w:t>
      </w:r>
      <w:r>
        <w:rPr>
          <w:noProof/>
        </w:rPr>
        <w:t>,</w:t>
      </w:r>
      <w:r w:rsidRPr="00BE421C">
        <w:rPr>
          <w:noProof/>
        </w:rPr>
        <w:t xml:space="preserve"> DH, Scholz</w:t>
      </w:r>
      <w:r>
        <w:rPr>
          <w:noProof/>
        </w:rPr>
        <w:t>,</w:t>
      </w:r>
      <w:r w:rsidRPr="00BE421C">
        <w:rPr>
          <w:noProof/>
        </w:rPr>
        <w:t xml:space="preserve"> NL</w:t>
      </w:r>
      <w:r>
        <w:rPr>
          <w:noProof/>
        </w:rPr>
        <w:t xml:space="preserve"> &amp;</w:t>
      </w:r>
      <w:r w:rsidRPr="00BE421C">
        <w:rPr>
          <w:noProof/>
        </w:rPr>
        <w:t xml:space="preserve"> Incardona</w:t>
      </w:r>
      <w:r>
        <w:rPr>
          <w:noProof/>
        </w:rPr>
        <w:t>,</w:t>
      </w:r>
      <w:r w:rsidRPr="00BE421C">
        <w:rPr>
          <w:noProof/>
        </w:rPr>
        <w:t xml:space="preserve"> JP 2009. Evaluating the effects of forestry herbicides on fish development using rapid phenotypic screens. </w:t>
      </w:r>
      <w:r w:rsidRPr="00BD6E52">
        <w:rPr>
          <w:rStyle w:val="Emphasis"/>
        </w:rPr>
        <w:t>North American Journal of Fisheries Management</w:t>
      </w:r>
      <w:r>
        <w:rPr>
          <w:noProof/>
        </w:rPr>
        <w:t>,</w:t>
      </w:r>
      <w:r w:rsidRPr="00BE421C">
        <w:rPr>
          <w:noProof/>
        </w:rPr>
        <w:t xml:space="preserve"> 29</w:t>
      </w:r>
      <w:r>
        <w:rPr>
          <w:noProof/>
        </w:rPr>
        <w:t>,</w:t>
      </w:r>
      <w:r w:rsidRPr="00BE421C">
        <w:rPr>
          <w:noProof/>
        </w:rPr>
        <w:t xml:space="preserve"> 975</w:t>
      </w:r>
      <w:r>
        <w:rPr>
          <w:noProof/>
        </w:rPr>
        <w:t>–</w:t>
      </w:r>
      <w:r w:rsidRPr="00BE421C">
        <w:rPr>
          <w:noProof/>
        </w:rPr>
        <w:t>984.</w:t>
      </w:r>
    </w:p>
    <w:p w14:paraId="4E0430D7" w14:textId="77777777" w:rsidR="00EA07AF" w:rsidRDefault="00F039DE" w:rsidP="00A024EF">
      <w:pPr>
        <w:rPr>
          <w:noProof/>
        </w:rPr>
      </w:pPr>
      <w:bookmarkStart w:id="65" w:name="_Ref436774012"/>
      <w:r w:rsidRPr="00BE421C">
        <w:rPr>
          <w:noProof/>
        </w:rPr>
        <w:t>Tu, M, Hurd</w:t>
      </w:r>
      <w:r>
        <w:rPr>
          <w:noProof/>
        </w:rPr>
        <w:t>,</w:t>
      </w:r>
      <w:r w:rsidRPr="00BE421C">
        <w:rPr>
          <w:noProof/>
        </w:rPr>
        <w:t xml:space="preserve"> C</w:t>
      </w:r>
      <w:r>
        <w:rPr>
          <w:noProof/>
        </w:rPr>
        <w:t xml:space="preserve"> &amp;</w:t>
      </w:r>
      <w:r w:rsidRPr="00BE421C">
        <w:rPr>
          <w:noProof/>
        </w:rPr>
        <w:t xml:space="preserve"> Randall</w:t>
      </w:r>
      <w:r>
        <w:rPr>
          <w:noProof/>
        </w:rPr>
        <w:t>,</w:t>
      </w:r>
      <w:r w:rsidRPr="00BE421C">
        <w:rPr>
          <w:noProof/>
        </w:rPr>
        <w:t xml:space="preserve"> JM 2001. </w:t>
      </w:r>
      <w:hyperlink r:id="rId43" w:history="1">
        <w:r w:rsidRPr="00F47422">
          <w:rPr>
            <w:rStyle w:val="Hyperlink"/>
            <w:noProof/>
          </w:rPr>
          <w:t>Weed control methods handbook: Tools and techniques for use in natural areas</w:t>
        </w:r>
      </w:hyperlink>
      <w:r w:rsidRPr="00BE421C">
        <w:rPr>
          <w:noProof/>
        </w:rPr>
        <w:t xml:space="preserve">. The Nature Conservancy. </w:t>
      </w:r>
      <w:bookmarkEnd w:id="65"/>
    </w:p>
    <w:p w14:paraId="4E0430D8" w14:textId="77777777" w:rsidR="00EA07AF" w:rsidRPr="00BE421C" w:rsidRDefault="00F039DE" w:rsidP="00A024EF">
      <w:pPr>
        <w:rPr>
          <w:noProof/>
        </w:rPr>
      </w:pPr>
      <w:bookmarkStart w:id="66" w:name="_Ref436768924"/>
      <w:bookmarkEnd w:id="44"/>
      <w:bookmarkEnd w:id="45"/>
      <w:bookmarkEnd w:id="56"/>
      <w:bookmarkEnd w:id="64"/>
      <w:r w:rsidRPr="00AA34DA">
        <w:rPr>
          <w:noProof/>
        </w:rPr>
        <w:t>Tubea, B, Hawxby</w:t>
      </w:r>
      <w:r>
        <w:rPr>
          <w:noProof/>
        </w:rPr>
        <w:t>,</w:t>
      </w:r>
      <w:r w:rsidRPr="00AA34DA">
        <w:rPr>
          <w:noProof/>
        </w:rPr>
        <w:t xml:space="preserve"> K</w:t>
      </w:r>
      <w:r>
        <w:rPr>
          <w:noProof/>
        </w:rPr>
        <w:t xml:space="preserve"> &amp;</w:t>
      </w:r>
      <w:r w:rsidRPr="00AA34DA">
        <w:rPr>
          <w:noProof/>
        </w:rPr>
        <w:t xml:space="preserve"> Mehta</w:t>
      </w:r>
      <w:r>
        <w:rPr>
          <w:noProof/>
        </w:rPr>
        <w:t>,</w:t>
      </w:r>
      <w:r w:rsidRPr="00AA34DA">
        <w:rPr>
          <w:noProof/>
        </w:rPr>
        <w:t xml:space="preserve"> R 1981. The effect of nutrient, pH and herbicide levels on algal growth. </w:t>
      </w:r>
      <w:r w:rsidRPr="00226383">
        <w:rPr>
          <w:rStyle w:val="Emphasis"/>
        </w:rPr>
        <w:t>Hydrobiologia</w:t>
      </w:r>
      <w:r>
        <w:rPr>
          <w:noProof/>
        </w:rPr>
        <w:t>,</w:t>
      </w:r>
      <w:r w:rsidRPr="00AA34DA">
        <w:rPr>
          <w:noProof/>
        </w:rPr>
        <w:t xml:space="preserve"> 79</w:t>
      </w:r>
      <w:r>
        <w:rPr>
          <w:noProof/>
        </w:rPr>
        <w:t>,</w:t>
      </w:r>
      <w:r w:rsidRPr="00AA34DA">
        <w:rPr>
          <w:noProof/>
        </w:rPr>
        <w:t xml:space="preserve"> 221</w:t>
      </w:r>
      <w:r>
        <w:rPr>
          <w:noProof/>
        </w:rPr>
        <w:t>–</w:t>
      </w:r>
      <w:r w:rsidRPr="00AA34DA">
        <w:rPr>
          <w:noProof/>
        </w:rPr>
        <w:t>227</w:t>
      </w:r>
      <w:r>
        <w:rPr>
          <w:noProof/>
        </w:rPr>
        <w:t>.</w:t>
      </w:r>
    </w:p>
    <w:p w14:paraId="4E0430D9" w14:textId="77777777" w:rsidR="00EA07AF" w:rsidRPr="00BE421C" w:rsidRDefault="00F039DE" w:rsidP="00A024EF">
      <w:pPr>
        <w:rPr>
          <w:noProof/>
        </w:rPr>
      </w:pPr>
      <w:bookmarkStart w:id="67" w:name="_Ref436768737"/>
      <w:bookmarkStart w:id="68" w:name="_Ref437292092"/>
      <w:r w:rsidRPr="00BE421C">
        <w:rPr>
          <w:noProof/>
        </w:rPr>
        <w:t>USEPA 1995. Reregistration Eligibility Decision</w:t>
      </w:r>
      <w:r>
        <w:rPr>
          <w:noProof/>
        </w:rPr>
        <w:t>:</w:t>
      </w:r>
      <w:r w:rsidRPr="00BE421C">
        <w:rPr>
          <w:noProof/>
        </w:rPr>
        <w:t xml:space="preserve"> Picloram</w:t>
      </w:r>
      <w:r>
        <w:rPr>
          <w:noProof/>
        </w:rPr>
        <w:t>,</w:t>
      </w:r>
      <w:r w:rsidRPr="00BE421C">
        <w:rPr>
          <w:noProof/>
        </w:rPr>
        <w:t xml:space="preserve"> List A</w:t>
      </w:r>
      <w:r>
        <w:rPr>
          <w:noProof/>
        </w:rPr>
        <w:t>,</w:t>
      </w:r>
      <w:r w:rsidRPr="00BE421C">
        <w:rPr>
          <w:noProof/>
        </w:rPr>
        <w:t xml:space="preserve"> Case 0096. Prevention, Pesticides and Toxic Substances (7508W).</w:t>
      </w:r>
      <w:r>
        <w:rPr>
          <w:noProof/>
        </w:rPr>
        <w:t xml:space="preserve"> </w:t>
      </w:r>
      <w:r>
        <w:t>EPA 738-R95-019</w:t>
      </w:r>
      <w:r w:rsidRPr="00BE421C">
        <w:rPr>
          <w:noProof/>
        </w:rPr>
        <w:t xml:space="preserve"> August 1995.</w:t>
      </w:r>
      <w:r>
        <w:rPr>
          <w:noProof/>
        </w:rPr>
        <w:t xml:space="preserve"> </w:t>
      </w:r>
      <w:r w:rsidRPr="00BE421C">
        <w:rPr>
          <w:noProof/>
        </w:rPr>
        <w:t xml:space="preserve">United States Environmental Protection Agency. </w:t>
      </w:r>
      <w:bookmarkEnd w:id="67"/>
    </w:p>
    <w:bookmarkEnd w:id="68"/>
    <w:p w14:paraId="4E0430DA" w14:textId="77777777" w:rsidR="00EA07AF" w:rsidRPr="00BE421C" w:rsidRDefault="00F039DE" w:rsidP="00A024EF">
      <w:pPr>
        <w:rPr>
          <w:noProof/>
        </w:rPr>
      </w:pPr>
      <w:r>
        <w:rPr>
          <w:noProof/>
        </w:rPr>
        <w:t>USEPA OPP</w:t>
      </w:r>
      <w:r w:rsidRPr="00107BDF">
        <w:rPr>
          <w:noProof/>
        </w:rPr>
        <w:t xml:space="preserve"> </w:t>
      </w:r>
      <w:r>
        <w:rPr>
          <w:noProof/>
        </w:rPr>
        <w:t xml:space="preserve">2019. </w:t>
      </w:r>
      <w:hyperlink r:id="rId44" w:history="1">
        <w:r w:rsidRPr="00D17866">
          <w:rPr>
            <w:rStyle w:val="Hyperlink"/>
            <w:noProof/>
          </w:rPr>
          <w:t>Pesticide Ecotoxicity Database</w:t>
        </w:r>
      </w:hyperlink>
      <w:r>
        <w:rPr>
          <w:noProof/>
        </w:rPr>
        <w:t>.</w:t>
      </w:r>
      <w:r w:rsidRPr="00107BDF">
        <w:rPr>
          <w:noProof/>
        </w:rPr>
        <w:t xml:space="preserve"> </w:t>
      </w:r>
      <w:r>
        <w:rPr>
          <w:noProof/>
        </w:rPr>
        <w:t>United States Environmental Protection Agency, Office of Pesticide Programs.</w:t>
      </w:r>
    </w:p>
    <w:bookmarkEnd w:id="66"/>
    <w:p w14:paraId="4E0430DB" w14:textId="77777777" w:rsidR="00EA07AF" w:rsidRDefault="00F039DE" w:rsidP="008D1AFA">
      <w:r w:rsidRPr="00A40001">
        <w:t>Warne</w:t>
      </w:r>
      <w:r>
        <w:t>,</w:t>
      </w:r>
      <w:r w:rsidRPr="00A40001">
        <w:t xml:space="preserve"> MStJ, Batley</w:t>
      </w:r>
      <w:r>
        <w:t>,</w:t>
      </w:r>
      <w:r w:rsidRPr="00A40001">
        <w:t xml:space="preserve"> GE, van Dam</w:t>
      </w:r>
      <w:r>
        <w:t>,</w:t>
      </w:r>
      <w:r w:rsidRPr="00A40001">
        <w:t xml:space="preserve"> RA, Chapman</w:t>
      </w:r>
      <w:r>
        <w:t>,</w:t>
      </w:r>
      <w:r w:rsidRPr="00A40001">
        <w:t xml:space="preserve"> JC, Fox</w:t>
      </w:r>
      <w:r>
        <w:t>,</w:t>
      </w:r>
      <w:r w:rsidRPr="00A40001">
        <w:t xml:space="preserve"> DR, Hickey</w:t>
      </w:r>
      <w:r>
        <w:t>,</w:t>
      </w:r>
      <w:r w:rsidRPr="00A40001">
        <w:t xml:space="preserve"> CW </w:t>
      </w:r>
      <w:r>
        <w:t xml:space="preserve">&amp; Stauber, </w:t>
      </w:r>
      <w:r w:rsidRPr="009B2BC4">
        <w:t>JL</w:t>
      </w:r>
      <w:r w:rsidRPr="00E00D37">
        <w:t xml:space="preserve"> 2018. R</w:t>
      </w:r>
      <w:r>
        <w:t>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4E0430DC" w14:textId="77777777" w:rsidR="00EA07AF" w:rsidRPr="00BE421C" w:rsidRDefault="00F039DE" w:rsidP="00A024EF">
      <w:pPr>
        <w:rPr>
          <w:noProof/>
        </w:rPr>
      </w:pPr>
      <w:bookmarkStart w:id="69" w:name="_Ref436775156"/>
      <w:bookmarkEnd w:id="46"/>
      <w:bookmarkEnd w:id="47"/>
      <w:bookmarkEnd w:id="48"/>
      <w:r>
        <w:rPr>
          <w:noProof/>
        </w:rPr>
        <w:t xml:space="preserve">Woodward, DF 1982. Acute toxicity of mixtures of range management herbicides to Cutthroat trout. </w:t>
      </w:r>
      <w:r w:rsidRPr="00C70317">
        <w:rPr>
          <w:rStyle w:val="Emphasis"/>
        </w:rPr>
        <w:t>Journal of Range Management</w:t>
      </w:r>
      <w:r>
        <w:rPr>
          <w:noProof/>
        </w:rPr>
        <w:t>, 35, 539–540.</w:t>
      </w:r>
      <w:r w:rsidRPr="00BE421C">
        <w:rPr>
          <w:noProof/>
        </w:rPr>
        <w:t xml:space="preserve"> </w:t>
      </w:r>
    </w:p>
    <w:bookmarkEnd w:id="69"/>
    <w:p w14:paraId="4E0430DD" w14:textId="77777777" w:rsidR="00201048" w:rsidRDefault="00201048" w:rsidP="00A024EF">
      <w:pPr>
        <w:rPr>
          <w:noProof/>
        </w:rPr>
      </w:pPr>
    </w:p>
    <w:sectPr w:rsidR="00201048" w:rsidSect="00606A7B">
      <w:headerReference w:type="even" r:id="rId45"/>
      <w:headerReference w:type="default" r:id="rId46"/>
      <w:headerReference w:type="first" r:id="rId4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30FF" w14:textId="77777777" w:rsidR="00D66D16" w:rsidRDefault="00F039DE">
      <w:pPr>
        <w:spacing w:after="0" w:line="240" w:lineRule="auto"/>
      </w:pPr>
      <w:r>
        <w:separator/>
      </w:r>
    </w:p>
  </w:endnote>
  <w:endnote w:type="continuationSeparator" w:id="0">
    <w:p w14:paraId="4E043101" w14:textId="77777777" w:rsidR="00D66D16" w:rsidRDefault="00F0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EE" w14:textId="77777777" w:rsidR="00800F88" w:rsidRDefault="00F039DE" w:rsidP="00387CB9">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3" w14:textId="77777777" w:rsidR="00800F88" w:rsidRDefault="00F039DE">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7" w14:textId="77777777" w:rsidR="00800F88" w:rsidRDefault="00F039DE" w:rsidP="00387CB9">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30FB" w14:textId="77777777" w:rsidR="00D66D16" w:rsidRDefault="00F039DE">
      <w:pPr>
        <w:spacing w:after="0" w:line="240" w:lineRule="auto"/>
      </w:pPr>
      <w:r>
        <w:separator/>
      </w:r>
    </w:p>
  </w:footnote>
  <w:footnote w:type="continuationSeparator" w:id="0">
    <w:p w14:paraId="4E0430FD" w14:textId="77777777" w:rsidR="00D66D16" w:rsidRDefault="00F03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EC" w14:textId="57B2777E" w:rsidR="00E574DF" w:rsidRDefault="00E574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8" w14:textId="72F124D1" w:rsidR="00E574DF" w:rsidRDefault="00E574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9" w14:textId="281E6D2C" w:rsidR="00800F88" w:rsidRPr="000756BD" w:rsidRDefault="00F039DE" w:rsidP="000756BD">
    <w:pPr>
      <w:pStyle w:val="Header"/>
    </w:pPr>
    <w:r w:rsidRPr="0028085F">
      <w:t xml:space="preserve">Toxicant default guideline values for aquatic ecosystem protection: </w:t>
    </w:r>
    <w:r>
      <w:t>Picloram</w:t>
    </w:r>
    <w:r w:rsidRPr="0028085F">
      <w:t xml:space="preserve"> in freshwater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A" w14:textId="5C137EB7" w:rsidR="00E574DF" w:rsidRDefault="00E57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ED" w14:textId="749F0898" w:rsidR="00800F88" w:rsidRDefault="00F039DE">
    <w:pPr>
      <w:pStyle w:val="Header"/>
    </w:pPr>
    <w:r>
      <w:t>Toxicant default guideline values for aquatic ecosystem protection: Picloram</w:t>
    </w:r>
    <w:r w:rsidRPr="0013350A">
      <w:t xml:space="preserve"> in freshwater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EF" w14:textId="288D819F" w:rsidR="00800F88" w:rsidRDefault="00F039DE">
    <w:pPr>
      <w:pStyle w:val="Header"/>
    </w:pPr>
    <w:r>
      <w:rPr>
        <w:noProof/>
        <w:lang w:eastAsia="en-AU"/>
      </w:rPr>
      <w:drawing>
        <wp:anchor distT="0" distB="0" distL="114300" distR="114300" simplePos="0" relativeHeight="251658240" behindDoc="1" locked="0" layoutInCell="1" allowOverlap="1" wp14:anchorId="4E0430FE" wp14:editId="4E0430FF">
          <wp:simplePos x="0" y="0"/>
          <wp:positionH relativeFrom="column">
            <wp:posOffset>-895406</wp:posOffset>
          </wp:positionH>
          <wp:positionV relativeFrom="paragraph">
            <wp:posOffset>-355021</wp:posOffset>
          </wp:positionV>
          <wp:extent cx="7556361" cy="10687529"/>
          <wp:effectExtent l="0" t="0" r="6985" b="0"/>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4110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0" w14:textId="34DC5D0E" w:rsidR="00E574DF" w:rsidRDefault="00E574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1" w14:textId="04EAA513" w:rsidR="00800F88" w:rsidRPr="001303C0" w:rsidRDefault="00F039DE" w:rsidP="001303C0">
    <w:pPr>
      <w:pStyle w:val="Header"/>
    </w:pPr>
    <w:r w:rsidRPr="0013350A">
      <w:t xml:space="preserve">Toxicant default guideline values for aquatic ecosystem protection: </w:t>
    </w:r>
    <w:r>
      <w:t>Picloram</w:t>
    </w:r>
    <w:r w:rsidRPr="0013350A">
      <w:t xml:space="preserve">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2" w14:textId="141997AC" w:rsidR="00800F88" w:rsidRPr="001303C0" w:rsidRDefault="00F039DE" w:rsidP="001303C0">
    <w:pPr>
      <w:pStyle w:val="Header"/>
    </w:pPr>
    <w:r>
      <w:t>Toxicant default guideline values for aquatic ecosystem protection: Picloram</w:t>
    </w:r>
    <w:r w:rsidRPr="0013350A">
      <w:t xml:space="preserve"> in freshwater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4" w14:textId="73CEEA4D" w:rsidR="00E574DF" w:rsidRDefault="00E574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5" w14:textId="63FF8162" w:rsidR="00800F88" w:rsidRPr="000756BD" w:rsidRDefault="00F039DE" w:rsidP="000756BD">
    <w:pPr>
      <w:pStyle w:val="Header"/>
    </w:pPr>
    <w:r>
      <w:t>Toxicant default guideline values for aquatic ecosystem protection</w:t>
    </w:r>
    <w:r w:rsidRPr="0028085F">
      <w:t xml:space="preserve">: </w:t>
    </w:r>
    <w:r>
      <w:t>Picloram</w:t>
    </w:r>
    <w:r w:rsidRPr="0028085F">
      <w:t xml:space="preserve"> in freshwater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F6" w14:textId="38CB8C37" w:rsidR="00800F88" w:rsidRPr="000756BD" w:rsidRDefault="00F039DE" w:rsidP="000756BD">
    <w:pPr>
      <w:pStyle w:val="Header"/>
    </w:pPr>
    <w:r w:rsidRPr="0028085F">
      <w:t xml:space="preserve">Toxicant default guideline values for aquatic ecosystem protection: </w:t>
    </w:r>
    <w:r>
      <w:t>Picloram</w:t>
    </w:r>
    <w:r w:rsidRPr="0028085F">
      <w:t xml:space="preserve"> in freshwater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8A6"/>
    <w:multiLevelType w:val="hybridMultilevel"/>
    <w:tmpl w:val="A0847520"/>
    <w:lvl w:ilvl="0" w:tplc="697295AC">
      <w:start w:val="5"/>
      <w:numFmt w:val="bullet"/>
      <w:lvlText w:val="-"/>
      <w:lvlJc w:val="left"/>
      <w:pPr>
        <w:ind w:left="720" w:hanging="360"/>
      </w:pPr>
      <w:rPr>
        <w:rFonts w:ascii="Calibri" w:eastAsiaTheme="minorHAnsi" w:hAnsi="Calibri" w:cs="Calibri" w:hint="default"/>
      </w:rPr>
    </w:lvl>
    <w:lvl w:ilvl="1" w:tplc="633A2802" w:tentative="1">
      <w:start w:val="1"/>
      <w:numFmt w:val="bullet"/>
      <w:lvlText w:val="o"/>
      <w:lvlJc w:val="left"/>
      <w:pPr>
        <w:ind w:left="1440" w:hanging="360"/>
      </w:pPr>
      <w:rPr>
        <w:rFonts w:ascii="Courier New" w:hAnsi="Courier New" w:cs="Courier New" w:hint="default"/>
      </w:rPr>
    </w:lvl>
    <w:lvl w:ilvl="2" w:tplc="488EBFF6" w:tentative="1">
      <w:start w:val="1"/>
      <w:numFmt w:val="bullet"/>
      <w:lvlText w:val=""/>
      <w:lvlJc w:val="left"/>
      <w:pPr>
        <w:ind w:left="2160" w:hanging="360"/>
      </w:pPr>
      <w:rPr>
        <w:rFonts w:ascii="Wingdings" w:hAnsi="Wingdings" w:hint="default"/>
      </w:rPr>
    </w:lvl>
    <w:lvl w:ilvl="3" w:tplc="C79C5604" w:tentative="1">
      <w:start w:val="1"/>
      <w:numFmt w:val="bullet"/>
      <w:lvlText w:val=""/>
      <w:lvlJc w:val="left"/>
      <w:pPr>
        <w:ind w:left="2880" w:hanging="360"/>
      </w:pPr>
      <w:rPr>
        <w:rFonts w:ascii="Symbol" w:hAnsi="Symbol" w:hint="default"/>
      </w:rPr>
    </w:lvl>
    <w:lvl w:ilvl="4" w:tplc="4226FC66" w:tentative="1">
      <w:start w:val="1"/>
      <w:numFmt w:val="bullet"/>
      <w:lvlText w:val="o"/>
      <w:lvlJc w:val="left"/>
      <w:pPr>
        <w:ind w:left="3600" w:hanging="360"/>
      </w:pPr>
      <w:rPr>
        <w:rFonts w:ascii="Courier New" w:hAnsi="Courier New" w:cs="Courier New" w:hint="default"/>
      </w:rPr>
    </w:lvl>
    <w:lvl w:ilvl="5" w:tplc="6A62D0D6" w:tentative="1">
      <w:start w:val="1"/>
      <w:numFmt w:val="bullet"/>
      <w:lvlText w:val=""/>
      <w:lvlJc w:val="left"/>
      <w:pPr>
        <w:ind w:left="4320" w:hanging="360"/>
      </w:pPr>
      <w:rPr>
        <w:rFonts w:ascii="Wingdings" w:hAnsi="Wingdings" w:hint="default"/>
      </w:rPr>
    </w:lvl>
    <w:lvl w:ilvl="6" w:tplc="484C0402" w:tentative="1">
      <w:start w:val="1"/>
      <w:numFmt w:val="bullet"/>
      <w:lvlText w:val=""/>
      <w:lvlJc w:val="left"/>
      <w:pPr>
        <w:ind w:left="5040" w:hanging="360"/>
      </w:pPr>
      <w:rPr>
        <w:rFonts w:ascii="Symbol" w:hAnsi="Symbol" w:hint="default"/>
      </w:rPr>
    </w:lvl>
    <w:lvl w:ilvl="7" w:tplc="0B88C498" w:tentative="1">
      <w:start w:val="1"/>
      <w:numFmt w:val="bullet"/>
      <w:lvlText w:val="o"/>
      <w:lvlJc w:val="left"/>
      <w:pPr>
        <w:ind w:left="5760" w:hanging="360"/>
      </w:pPr>
      <w:rPr>
        <w:rFonts w:ascii="Courier New" w:hAnsi="Courier New" w:cs="Courier New" w:hint="default"/>
      </w:rPr>
    </w:lvl>
    <w:lvl w:ilvl="8" w:tplc="A942E744" w:tentative="1">
      <w:start w:val="1"/>
      <w:numFmt w:val="bullet"/>
      <w:lvlText w:val=""/>
      <w:lvlJc w:val="left"/>
      <w:pPr>
        <w:ind w:left="6480" w:hanging="360"/>
      </w:pPr>
      <w:rPr>
        <w:rFonts w:ascii="Wingdings" w:hAnsi="Wingdings" w:hint="default"/>
      </w:r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7AAA4804">
      <w:start w:val="1"/>
      <w:numFmt w:val="bullet"/>
      <w:pStyle w:val="TableBullet"/>
      <w:lvlText w:val=""/>
      <w:lvlJc w:val="left"/>
      <w:pPr>
        <w:ind w:left="720" w:hanging="360"/>
      </w:pPr>
      <w:rPr>
        <w:rFonts w:ascii="Symbol" w:hAnsi="Symbol" w:hint="default"/>
      </w:rPr>
    </w:lvl>
    <w:lvl w:ilvl="1" w:tplc="4E72EBF0" w:tentative="1">
      <w:start w:val="1"/>
      <w:numFmt w:val="bullet"/>
      <w:lvlText w:val="o"/>
      <w:lvlJc w:val="left"/>
      <w:pPr>
        <w:ind w:left="1440" w:hanging="360"/>
      </w:pPr>
      <w:rPr>
        <w:rFonts w:ascii="Courier New" w:hAnsi="Courier New" w:cs="Courier New" w:hint="default"/>
      </w:rPr>
    </w:lvl>
    <w:lvl w:ilvl="2" w:tplc="15E65CEA" w:tentative="1">
      <w:start w:val="1"/>
      <w:numFmt w:val="bullet"/>
      <w:lvlText w:val=""/>
      <w:lvlJc w:val="left"/>
      <w:pPr>
        <w:ind w:left="2160" w:hanging="360"/>
      </w:pPr>
      <w:rPr>
        <w:rFonts w:ascii="Wingdings" w:hAnsi="Wingdings" w:hint="default"/>
      </w:rPr>
    </w:lvl>
    <w:lvl w:ilvl="3" w:tplc="EB942E5A" w:tentative="1">
      <w:start w:val="1"/>
      <w:numFmt w:val="bullet"/>
      <w:lvlText w:val=""/>
      <w:lvlJc w:val="left"/>
      <w:pPr>
        <w:ind w:left="2880" w:hanging="360"/>
      </w:pPr>
      <w:rPr>
        <w:rFonts w:ascii="Symbol" w:hAnsi="Symbol" w:hint="default"/>
      </w:rPr>
    </w:lvl>
    <w:lvl w:ilvl="4" w:tplc="81CA833C" w:tentative="1">
      <w:start w:val="1"/>
      <w:numFmt w:val="bullet"/>
      <w:lvlText w:val="o"/>
      <w:lvlJc w:val="left"/>
      <w:pPr>
        <w:ind w:left="3600" w:hanging="360"/>
      </w:pPr>
      <w:rPr>
        <w:rFonts w:ascii="Courier New" w:hAnsi="Courier New" w:cs="Courier New" w:hint="default"/>
      </w:rPr>
    </w:lvl>
    <w:lvl w:ilvl="5" w:tplc="39886790" w:tentative="1">
      <w:start w:val="1"/>
      <w:numFmt w:val="bullet"/>
      <w:lvlText w:val=""/>
      <w:lvlJc w:val="left"/>
      <w:pPr>
        <w:ind w:left="4320" w:hanging="360"/>
      </w:pPr>
      <w:rPr>
        <w:rFonts w:ascii="Wingdings" w:hAnsi="Wingdings" w:hint="default"/>
      </w:rPr>
    </w:lvl>
    <w:lvl w:ilvl="6" w:tplc="9048A27C" w:tentative="1">
      <w:start w:val="1"/>
      <w:numFmt w:val="bullet"/>
      <w:lvlText w:val=""/>
      <w:lvlJc w:val="left"/>
      <w:pPr>
        <w:ind w:left="5040" w:hanging="360"/>
      </w:pPr>
      <w:rPr>
        <w:rFonts w:ascii="Symbol" w:hAnsi="Symbol" w:hint="default"/>
      </w:rPr>
    </w:lvl>
    <w:lvl w:ilvl="7" w:tplc="15467084" w:tentative="1">
      <w:start w:val="1"/>
      <w:numFmt w:val="bullet"/>
      <w:lvlText w:val="o"/>
      <w:lvlJc w:val="left"/>
      <w:pPr>
        <w:ind w:left="5760" w:hanging="360"/>
      </w:pPr>
      <w:rPr>
        <w:rFonts w:ascii="Courier New" w:hAnsi="Courier New" w:cs="Courier New" w:hint="default"/>
      </w:rPr>
    </w:lvl>
    <w:lvl w:ilvl="8" w:tplc="FAA65B72" w:tentative="1">
      <w:start w:val="1"/>
      <w:numFmt w:val="bullet"/>
      <w:lvlText w:val=""/>
      <w:lvlJc w:val="left"/>
      <w:pPr>
        <w:ind w:left="6480" w:hanging="360"/>
      </w:pPr>
      <w:rPr>
        <w:rFonts w:ascii="Wingdings" w:hAnsi="Wingdings" w:hint="default"/>
      </w:rPr>
    </w:lvl>
  </w:abstractNum>
  <w:abstractNum w:abstractNumId="5" w15:restartNumberingAfterBreak="0">
    <w:nsid w:val="2453399E"/>
    <w:multiLevelType w:val="multilevel"/>
    <w:tmpl w:val="88964F4C"/>
    <w:numStyleLink w:val="heading"/>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D595B46"/>
    <w:multiLevelType w:val="multilevel"/>
    <w:tmpl w:val="C32AB9AA"/>
    <w:numStyleLink w:val="ListNumber1"/>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C62FCD"/>
    <w:multiLevelType w:val="hybridMultilevel"/>
    <w:tmpl w:val="0B4A6256"/>
    <w:lvl w:ilvl="0" w:tplc="0A5606F0">
      <w:start w:val="1"/>
      <w:numFmt w:val="bullet"/>
      <w:lvlText w:val=""/>
      <w:lvlJc w:val="left"/>
      <w:pPr>
        <w:ind w:left="720" w:hanging="360"/>
      </w:pPr>
      <w:rPr>
        <w:rFonts w:ascii="Symbol" w:hAnsi="Symbol" w:hint="default"/>
      </w:rPr>
    </w:lvl>
    <w:lvl w:ilvl="1" w:tplc="7834BDF2" w:tentative="1">
      <w:start w:val="1"/>
      <w:numFmt w:val="bullet"/>
      <w:lvlText w:val="o"/>
      <w:lvlJc w:val="left"/>
      <w:pPr>
        <w:ind w:left="1440" w:hanging="360"/>
      </w:pPr>
      <w:rPr>
        <w:rFonts w:ascii="Courier New" w:hAnsi="Courier New" w:cs="Courier New" w:hint="default"/>
      </w:rPr>
    </w:lvl>
    <w:lvl w:ilvl="2" w:tplc="5C64BA60" w:tentative="1">
      <w:start w:val="1"/>
      <w:numFmt w:val="bullet"/>
      <w:lvlText w:val=""/>
      <w:lvlJc w:val="left"/>
      <w:pPr>
        <w:ind w:left="2160" w:hanging="360"/>
      </w:pPr>
      <w:rPr>
        <w:rFonts w:ascii="Wingdings" w:hAnsi="Wingdings" w:hint="default"/>
      </w:rPr>
    </w:lvl>
    <w:lvl w:ilvl="3" w:tplc="6FFC93A0" w:tentative="1">
      <w:start w:val="1"/>
      <w:numFmt w:val="bullet"/>
      <w:lvlText w:val=""/>
      <w:lvlJc w:val="left"/>
      <w:pPr>
        <w:ind w:left="2880" w:hanging="360"/>
      </w:pPr>
      <w:rPr>
        <w:rFonts w:ascii="Symbol" w:hAnsi="Symbol" w:hint="default"/>
      </w:rPr>
    </w:lvl>
    <w:lvl w:ilvl="4" w:tplc="CAF82480" w:tentative="1">
      <w:start w:val="1"/>
      <w:numFmt w:val="bullet"/>
      <w:lvlText w:val="o"/>
      <w:lvlJc w:val="left"/>
      <w:pPr>
        <w:ind w:left="3600" w:hanging="360"/>
      </w:pPr>
      <w:rPr>
        <w:rFonts w:ascii="Courier New" w:hAnsi="Courier New" w:cs="Courier New" w:hint="default"/>
      </w:rPr>
    </w:lvl>
    <w:lvl w:ilvl="5" w:tplc="8C809DE4" w:tentative="1">
      <w:start w:val="1"/>
      <w:numFmt w:val="bullet"/>
      <w:lvlText w:val=""/>
      <w:lvlJc w:val="left"/>
      <w:pPr>
        <w:ind w:left="4320" w:hanging="360"/>
      </w:pPr>
      <w:rPr>
        <w:rFonts w:ascii="Wingdings" w:hAnsi="Wingdings" w:hint="default"/>
      </w:rPr>
    </w:lvl>
    <w:lvl w:ilvl="6" w:tplc="CC0ECE8E" w:tentative="1">
      <w:start w:val="1"/>
      <w:numFmt w:val="bullet"/>
      <w:lvlText w:val=""/>
      <w:lvlJc w:val="left"/>
      <w:pPr>
        <w:ind w:left="5040" w:hanging="360"/>
      </w:pPr>
      <w:rPr>
        <w:rFonts w:ascii="Symbol" w:hAnsi="Symbol" w:hint="default"/>
      </w:rPr>
    </w:lvl>
    <w:lvl w:ilvl="7" w:tplc="C6DC5C46" w:tentative="1">
      <w:start w:val="1"/>
      <w:numFmt w:val="bullet"/>
      <w:lvlText w:val="o"/>
      <w:lvlJc w:val="left"/>
      <w:pPr>
        <w:ind w:left="5760" w:hanging="360"/>
      </w:pPr>
      <w:rPr>
        <w:rFonts w:ascii="Courier New" w:hAnsi="Courier New" w:cs="Courier New" w:hint="default"/>
      </w:rPr>
    </w:lvl>
    <w:lvl w:ilvl="8" w:tplc="66123ECA" w:tentative="1">
      <w:start w:val="1"/>
      <w:numFmt w:val="bullet"/>
      <w:lvlText w:val=""/>
      <w:lvlJc w:val="left"/>
      <w:pPr>
        <w:ind w:left="6480" w:hanging="360"/>
      </w:pPr>
      <w:rPr>
        <w:rFonts w:ascii="Wingdings" w:hAnsi="Wingdings" w:hint="default"/>
      </w:rPr>
    </w:lvl>
  </w:abstractNum>
  <w:abstractNum w:abstractNumId="10" w15:restartNumberingAfterBreak="0">
    <w:nsid w:val="36D54222"/>
    <w:multiLevelType w:val="multilevel"/>
    <w:tmpl w:val="757ED760"/>
    <w:numStyleLink w:val="Style1"/>
  </w:abstractNum>
  <w:abstractNum w:abstractNumId="11"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26969BC"/>
    <w:multiLevelType w:val="hybridMultilevel"/>
    <w:tmpl w:val="3F700FBE"/>
    <w:lvl w:ilvl="0" w:tplc="D3ECB85A">
      <w:start w:val="1"/>
      <w:numFmt w:val="bullet"/>
      <w:lvlText w:val=""/>
      <w:lvlJc w:val="left"/>
      <w:pPr>
        <w:ind w:left="720" w:hanging="360"/>
      </w:pPr>
      <w:rPr>
        <w:rFonts w:ascii="Symbol" w:hAnsi="Symbol" w:hint="default"/>
      </w:rPr>
    </w:lvl>
    <w:lvl w:ilvl="1" w:tplc="042A022A" w:tentative="1">
      <w:start w:val="1"/>
      <w:numFmt w:val="bullet"/>
      <w:lvlText w:val="o"/>
      <w:lvlJc w:val="left"/>
      <w:pPr>
        <w:ind w:left="1440" w:hanging="360"/>
      </w:pPr>
      <w:rPr>
        <w:rFonts w:ascii="Courier New" w:hAnsi="Courier New" w:cs="Courier New" w:hint="default"/>
      </w:rPr>
    </w:lvl>
    <w:lvl w:ilvl="2" w:tplc="4D94B6BE" w:tentative="1">
      <w:start w:val="1"/>
      <w:numFmt w:val="bullet"/>
      <w:lvlText w:val=""/>
      <w:lvlJc w:val="left"/>
      <w:pPr>
        <w:ind w:left="2160" w:hanging="360"/>
      </w:pPr>
      <w:rPr>
        <w:rFonts w:ascii="Wingdings" w:hAnsi="Wingdings" w:hint="default"/>
      </w:rPr>
    </w:lvl>
    <w:lvl w:ilvl="3" w:tplc="4C747B1A" w:tentative="1">
      <w:start w:val="1"/>
      <w:numFmt w:val="bullet"/>
      <w:lvlText w:val=""/>
      <w:lvlJc w:val="left"/>
      <w:pPr>
        <w:ind w:left="2880" w:hanging="360"/>
      </w:pPr>
      <w:rPr>
        <w:rFonts w:ascii="Symbol" w:hAnsi="Symbol" w:hint="default"/>
      </w:rPr>
    </w:lvl>
    <w:lvl w:ilvl="4" w:tplc="1BDABA5E" w:tentative="1">
      <w:start w:val="1"/>
      <w:numFmt w:val="bullet"/>
      <w:lvlText w:val="o"/>
      <w:lvlJc w:val="left"/>
      <w:pPr>
        <w:ind w:left="3600" w:hanging="360"/>
      </w:pPr>
      <w:rPr>
        <w:rFonts w:ascii="Courier New" w:hAnsi="Courier New" w:cs="Courier New" w:hint="default"/>
      </w:rPr>
    </w:lvl>
    <w:lvl w:ilvl="5" w:tplc="3A8A248E" w:tentative="1">
      <w:start w:val="1"/>
      <w:numFmt w:val="bullet"/>
      <w:lvlText w:val=""/>
      <w:lvlJc w:val="left"/>
      <w:pPr>
        <w:ind w:left="4320" w:hanging="360"/>
      </w:pPr>
      <w:rPr>
        <w:rFonts w:ascii="Wingdings" w:hAnsi="Wingdings" w:hint="default"/>
      </w:rPr>
    </w:lvl>
    <w:lvl w:ilvl="6" w:tplc="AF76CF8E" w:tentative="1">
      <w:start w:val="1"/>
      <w:numFmt w:val="bullet"/>
      <w:lvlText w:val=""/>
      <w:lvlJc w:val="left"/>
      <w:pPr>
        <w:ind w:left="5040" w:hanging="360"/>
      </w:pPr>
      <w:rPr>
        <w:rFonts w:ascii="Symbol" w:hAnsi="Symbol" w:hint="default"/>
      </w:rPr>
    </w:lvl>
    <w:lvl w:ilvl="7" w:tplc="2D4C435A" w:tentative="1">
      <w:start w:val="1"/>
      <w:numFmt w:val="bullet"/>
      <w:lvlText w:val="o"/>
      <w:lvlJc w:val="left"/>
      <w:pPr>
        <w:ind w:left="5760" w:hanging="360"/>
      </w:pPr>
      <w:rPr>
        <w:rFonts w:ascii="Courier New" w:hAnsi="Courier New" w:cs="Courier New" w:hint="default"/>
      </w:rPr>
    </w:lvl>
    <w:lvl w:ilvl="8" w:tplc="3D764F54"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B7086130"/>
    <w:lvl w:ilvl="0" w:tplc="F0800E78">
      <w:start w:val="1"/>
      <w:numFmt w:val="bullet"/>
      <w:pStyle w:val="BoxTextBullet"/>
      <w:lvlText w:val=""/>
      <w:lvlJc w:val="left"/>
      <w:pPr>
        <w:ind w:left="720" w:hanging="360"/>
      </w:pPr>
      <w:rPr>
        <w:rFonts w:ascii="Symbol" w:hAnsi="Symbol" w:hint="default"/>
      </w:rPr>
    </w:lvl>
    <w:lvl w:ilvl="1" w:tplc="6EC875F0" w:tentative="1">
      <w:start w:val="1"/>
      <w:numFmt w:val="bullet"/>
      <w:lvlText w:val="o"/>
      <w:lvlJc w:val="left"/>
      <w:pPr>
        <w:ind w:left="1440" w:hanging="360"/>
      </w:pPr>
      <w:rPr>
        <w:rFonts w:ascii="Courier New" w:hAnsi="Courier New" w:cs="Courier New" w:hint="default"/>
      </w:rPr>
    </w:lvl>
    <w:lvl w:ilvl="2" w:tplc="DEC6EE0A" w:tentative="1">
      <w:start w:val="1"/>
      <w:numFmt w:val="bullet"/>
      <w:lvlText w:val=""/>
      <w:lvlJc w:val="left"/>
      <w:pPr>
        <w:ind w:left="2160" w:hanging="360"/>
      </w:pPr>
      <w:rPr>
        <w:rFonts w:ascii="Wingdings" w:hAnsi="Wingdings" w:hint="default"/>
      </w:rPr>
    </w:lvl>
    <w:lvl w:ilvl="3" w:tplc="A1F6DDC0" w:tentative="1">
      <w:start w:val="1"/>
      <w:numFmt w:val="bullet"/>
      <w:lvlText w:val=""/>
      <w:lvlJc w:val="left"/>
      <w:pPr>
        <w:ind w:left="2880" w:hanging="360"/>
      </w:pPr>
      <w:rPr>
        <w:rFonts w:ascii="Symbol" w:hAnsi="Symbol" w:hint="default"/>
      </w:rPr>
    </w:lvl>
    <w:lvl w:ilvl="4" w:tplc="88F0BE5E" w:tentative="1">
      <w:start w:val="1"/>
      <w:numFmt w:val="bullet"/>
      <w:lvlText w:val="o"/>
      <w:lvlJc w:val="left"/>
      <w:pPr>
        <w:ind w:left="3600" w:hanging="360"/>
      </w:pPr>
      <w:rPr>
        <w:rFonts w:ascii="Courier New" w:hAnsi="Courier New" w:cs="Courier New" w:hint="default"/>
      </w:rPr>
    </w:lvl>
    <w:lvl w:ilvl="5" w:tplc="B34C1F02" w:tentative="1">
      <w:start w:val="1"/>
      <w:numFmt w:val="bullet"/>
      <w:lvlText w:val=""/>
      <w:lvlJc w:val="left"/>
      <w:pPr>
        <w:ind w:left="4320" w:hanging="360"/>
      </w:pPr>
      <w:rPr>
        <w:rFonts w:ascii="Wingdings" w:hAnsi="Wingdings" w:hint="default"/>
      </w:rPr>
    </w:lvl>
    <w:lvl w:ilvl="6" w:tplc="F28A3AEA" w:tentative="1">
      <w:start w:val="1"/>
      <w:numFmt w:val="bullet"/>
      <w:lvlText w:val=""/>
      <w:lvlJc w:val="left"/>
      <w:pPr>
        <w:ind w:left="5040" w:hanging="360"/>
      </w:pPr>
      <w:rPr>
        <w:rFonts w:ascii="Symbol" w:hAnsi="Symbol" w:hint="default"/>
      </w:rPr>
    </w:lvl>
    <w:lvl w:ilvl="7" w:tplc="B3009E88" w:tentative="1">
      <w:start w:val="1"/>
      <w:numFmt w:val="bullet"/>
      <w:lvlText w:val="o"/>
      <w:lvlJc w:val="left"/>
      <w:pPr>
        <w:ind w:left="5760" w:hanging="360"/>
      </w:pPr>
      <w:rPr>
        <w:rFonts w:ascii="Courier New" w:hAnsi="Courier New" w:cs="Courier New" w:hint="default"/>
      </w:rPr>
    </w:lvl>
    <w:lvl w:ilvl="8" w:tplc="79B47588"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1D84A87"/>
    <w:multiLevelType w:val="hybridMultilevel"/>
    <w:tmpl w:val="0A5A986C"/>
    <w:lvl w:ilvl="0" w:tplc="6D746E14">
      <w:start w:val="1"/>
      <w:numFmt w:val="decimal"/>
      <w:lvlText w:val="%1."/>
      <w:lvlJc w:val="left"/>
      <w:pPr>
        <w:ind w:left="644" w:hanging="360"/>
      </w:pPr>
      <w:rPr>
        <w:rFonts w:hint="default"/>
      </w:rPr>
    </w:lvl>
    <w:lvl w:ilvl="1" w:tplc="52584F90">
      <w:start w:val="1"/>
      <w:numFmt w:val="lowerLetter"/>
      <w:lvlText w:val="%2."/>
      <w:lvlJc w:val="left"/>
      <w:pPr>
        <w:ind w:left="1364" w:hanging="360"/>
      </w:pPr>
    </w:lvl>
    <w:lvl w:ilvl="2" w:tplc="A6BE45B2" w:tentative="1">
      <w:start w:val="1"/>
      <w:numFmt w:val="lowerRoman"/>
      <w:lvlText w:val="%3."/>
      <w:lvlJc w:val="right"/>
      <w:pPr>
        <w:ind w:left="2084" w:hanging="180"/>
      </w:pPr>
    </w:lvl>
    <w:lvl w:ilvl="3" w:tplc="34367632" w:tentative="1">
      <w:start w:val="1"/>
      <w:numFmt w:val="decimal"/>
      <w:lvlText w:val="%4."/>
      <w:lvlJc w:val="left"/>
      <w:pPr>
        <w:ind w:left="2804" w:hanging="360"/>
      </w:pPr>
    </w:lvl>
    <w:lvl w:ilvl="4" w:tplc="B5B6742E" w:tentative="1">
      <w:start w:val="1"/>
      <w:numFmt w:val="lowerLetter"/>
      <w:lvlText w:val="%5."/>
      <w:lvlJc w:val="left"/>
      <w:pPr>
        <w:ind w:left="3524" w:hanging="360"/>
      </w:pPr>
    </w:lvl>
    <w:lvl w:ilvl="5" w:tplc="AB08C57A" w:tentative="1">
      <w:start w:val="1"/>
      <w:numFmt w:val="lowerRoman"/>
      <w:lvlText w:val="%6."/>
      <w:lvlJc w:val="right"/>
      <w:pPr>
        <w:ind w:left="4244" w:hanging="180"/>
      </w:pPr>
    </w:lvl>
    <w:lvl w:ilvl="6" w:tplc="785CDA58" w:tentative="1">
      <w:start w:val="1"/>
      <w:numFmt w:val="decimal"/>
      <w:lvlText w:val="%7."/>
      <w:lvlJc w:val="left"/>
      <w:pPr>
        <w:ind w:left="4964" w:hanging="360"/>
      </w:pPr>
    </w:lvl>
    <w:lvl w:ilvl="7" w:tplc="DE4EE06E" w:tentative="1">
      <w:start w:val="1"/>
      <w:numFmt w:val="lowerLetter"/>
      <w:lvlText w:val="%8."/>
      <w:lvlJc w:val="left"/>
      <w:pPr>
        <w:ind w:left="5684" w:hanging="360"/>
      </w:pPr>
    </w:lvl>
    <w:lvl w:ilvl="8" w:tplc="6A5EF0D8" w:tentative="1">
      <w:start w:val="1"/>
      <w:numFmt w:val="lowerRoman"/>
      <w:lvlText w:val="%9."/>
      <w:lvlJc w:val="right"/>
      <w:pPr>
        <w:ind w:left="6404" w:hanging="180"/>
      </w:pPr>
    </w:lvl>
  </w:abstractNum>
  <w:abstractNum w:abstractNumId="18" w15:restartNumberingAfterBreak="0">
    <w:nsid w:val="7636387C"/>
    <w:multiLevelType w:val="multilevel"/>
    <w:tmpl w:val="6346ED0E"/>
    <w:numStyleLink w:val="listbullets"/>
  </w:abstractNum>
  <w:abstractNum w:abstractNumId="19" w15:restartNumberingAfterBreak="0">
    <w:nsid w:val="77204A9E"/>
    <w:multiLevelType w:val="hybridMultilevel"/>
    <w:tmpl w:val="5F98E056"/>
    <w:lvl w:ilvl="0" w:tplc="15F47688">
      <w:start w:val="1"/>
      <w:numFmt w:val="decimal"/>
      <w:lvlText w:val="%1)"/>
      <w:lvlJc w:val="left"/>
      <w:pPr>
        <w:ind w:left="720" w:hanging="360"/>
      </w:pPr>
      <w:rPr>
        <w:rFonts w:hint="default"/>
      </w:rPr>
    </w:lvl>
    <w:lvl w:ilvl="1" w:tplc="D468298E" w:tentative="1">
      <w:start w:val="1"/>
      <w:numFmt w:val="lowerLetter"/>
      <w:lvlText w:val="%2."/>
      <w:lvlJc w:val="left"/>
      <w:pPr>
        <w:ind w:left="1440" w:hanging="360"/>
      </w:pPr>
    </w:lvl>
    <w:lvl w:ilvl="2" w:tplc="8D4C406A" w:tentative="1">
      <w:start w:val="1"/>
      <w:numFmt w:val="lowerRoman"/>
      <w:lvlText w:val="%3."/>
      <w:lvlJc w:val="right"/>
      <w:pPr>
        <w:ind w:left="2160" w:hanging="180"/>
      </w:pPr>
    </w:lvl>
    <w:lvl w:ilvl="3" w:tplc="A0D6B94C" w:tentative="1">
      <w:start w:val="1"/>
      <w:numFmt w:val="decimal"/>
      <w:lvlText w:val="%4."/>
      <w:lvlJc w:val="left"/>
      <w:pPr>
        <w:ind w:left="2880" w:hanging="360"/>
      </w:pPr>
    </w:lvl>
    <w:lvl w:ilvl="4" w:tplc="21786A12" w:tentative="1">
      <w:start w:val="1"/>
      <w:numFmt w:val="lowerLetter"/>
      <w:lvlText w:val="%5."/>
      <w:lvlJc w:val="left"/>
      <w:pPr>
        <w:ind w:left="3600" w:hanging="360"/>
      </w:pPr>
    </w:lvl>
    <w:lvl w:ilvl="5" w:tplc="9F18D470" w:tentative="1">
      <w:start w:val="1"/>
      <w:numFmt w:val="lowerRoman"/>
      <w:lvlText w:val="%6."/>
      <w:lvlJc w:val="right"/>
      <w:pPr>
        <w:ind w:left="4320" w:hanging="180"/>
      </w:pPr>
    </w:lvl>
    <w:lvl w:ilvl="6" w:tplc="6EB2421E" w:tentative="1">
      <w:start w:val="1"/>
      <w:numFmt w:val="decimal"/>
      <w:lvlText w:val="%7."/>
      <w:lvlJc w:val="left"/>
      <w:pPr>
        <w:ind w:left="5040" w:hanging="360"/>
      </w:pPr>
    </w:lvl>
    <w:lvl w:ilvl="7" w:tplc="08CE0074" w:tentative="1">
      <w:start w:val="1"/>
      <w:numFmt w:val="lowerLetter"/>
      <w:lvlText w:val="%8."/>
      <w:lvlJc w:val="left"/>
      <w:pPr>
        <w:ind w:left="5760" w:hanging="360"/>
      </w:pPr>
    </w:lvl>
    <w:lvl w:ilvl="8" w:tplc="B28420CC" w:tentative="1">
      <w:start w:val="1"/>
      <w:numFmt w:val="lowerRoman"/>
      <w:lvlText w:val="%9."/>
      <w:lvlJc w:val="right"/>
      <w:pPr>
        <w:ind w:left="6480" w:hanging="180"/>
      </w:pPr>
    </w:lvl>
  </w:abstractNum>
  <w:abstractNum w:abstractNumId="20" w15:restartNumberingAfterBreak="0">
    <w:nsid w:val="7EEB45BD"/>
    <w:multiLevelType w:val="hybridMultilevel"/>
    <w:tmpl w:val="27F40F42"/>
    <w:lvl w:ilvl="0" w:tplc="11C87344">
      <w:start w:val="1"/>
      <w:numFmt w:val="bullet"/>
      <w:lvlText w:val=""/>
      <w:lvlJc w:val="left"/>
      <w:pPr>
        <w:ind w:left="720" w:hanging="360"/>
      </w:pPr>
      <w:rPr>
        <w:rFonts w:ascii="Symbol" w:hAnsi="Symbol" w:hint="default"/>
      </w:rPr>
    </w:lvl>
    <w:lvl w:ilvl="1" w:tplc="6A804E5C" w:tentative="1">
      <w:start w:val="1"/>
      <w:numFmt w:val="bullet"/>
      <w:lvlText w:val="o"/>
      <w:lvlJc w:val="left"/>
      <w:pPr>
        <w:ind w:left="1440" w:hanging="360"/>
      </w:pPr>
      <w:rPr>
        <w:rFonts w:ascii="Courier New" w:hAnsi="Courier New" w:cs="Courier New" w:hint="default"/>
      </w:rPr>
    </w:lvl>
    <w:lvl w:ilvl="2" w:tplc="90AED006" w:tentative="1">
      <w:start w:val="1"/>
      <w:numFmt w:val="bullet"/>
      <w:lvlText w:val=""/>
      <w:lvlJc w:val="left"/>
      <w:pPr>
        <w:ind w:left="2160" w:hanging="360"/>
      </w:pPr>
      <w:rPr>
        <w:rFonts w:ascii="Wingdings" w:hAnsi="Wingdings" w:hint="default"/>
      </w:rPr>
    </w:lvl>
    <w:lvl w:ilvl="3" w:tplc="2A8479D0" w:tentative="1">
      <w:start w:val="1"/>
      <w:numFmt w:val="bullet"/>
      <w:lvlText w:val=""/>
      <w:lvlJc w:val="left"/>
      <w:pPr>
        <w:ind w:left="2880" w:hanging="360"/>
      </w:pPr>
      <w:rPr>
        <w:rFonts w:ascii="Symbol" w:hAnsi="Symbol" w:hint="default"/>
      </w:rPr>
    </w:lvl>
    <w:lvl w:ilvl="4" w:tplc="9E18AF60" w:tentative="1">
      <w:start w:val="1"/>
      <w:numFmt w:val="bullet"/>
      <w:lvlText w:val="o"/>
      <w:lvlJc w:val="left"/>
      <w:pPr>
        <w:ind w:left="3600" w:hanging="360"/>
      </w:pPr>
      <w:rPr>
        <w:rFonts w:ascii="Courier New" w:hAnsi="Courier New" w:cs="Courier New" w:hint="default"/>
      </w:rPr>
    </w:lvl>
    <w:lvl w:ilvl="5" w:tplc="7EE20EB2" w:tentative="1">
      <w:start w:val="1"/>
      <w:numFmt w:val="bullet"/>
      <w:lvlText w:val=""/>
      <w:lvlJc w:val="left"/>
      <w:pPr>
        <w:ind w:left="4320" w:hanging="360"/>
      </w:pPr>
      <w:rPr>
        <w:rFonts w:ascii="Wingdings" w:hAnsi="Wingdings" w:hint="default"/>
      </w:rPr>
    </w:lvl>
    <w:lvl w:ilvl="6" w:tplc="3F528480" w:tentative="1">
      <w:start w:val="1"/>
      <w:numFmt w:val="bullet"/>
      <w:lvlText w:val=""/>
      <w:lvlJc w:val="left"/>
      <w:pPr>
        <w:ind w:left="5040" w:hanging="360"/>
      </w:pPr>
      <w:rPr>
        <w:rFonts w:ascii="Symbol" w:hAnsi="Symbol" w:hint="default"/>
      </w:rPr>
    </w:lvl>
    <w:lvl w:ilvl="7" w:tplc="9D1CBB4A" w:tentative="1">
      <w:start w:val="1"/>
      <w:numFmt w:val="bullet"/>
      <w:lvlText w:val="o"/>
      <w:lvlJc w:val="left"/>
      <w:pPr>
        <w:ind w:left="5760" w:hanging="360"/>
      </w:pPr>
      <w:rPr>
        <w:rFonts w:ascii="Courier New" w:hAnsi="Courier New" w:cs="Courier New" w:hint="default"/>
      </w:rPr>
    </w:lvl>
    <w:lvl w:ilvl="8" w:tplc="8478615A" w:tentative="1">
      <w:start w:val="1"/>
      <w:numFmt w:val="bullet"/>
      <w:lvlText w:val=""/>
      <w:lvlJc w:val="left"/>
      <w:pPr>
        <w:ind w:left="6480" w:hanging="360"/>
      </w:pPr>
      <w:rPr>
        <w:rFonts w:ascii="Wingdings" w:hAnsi="Wingdings" w:hint="default"/>
      </w:rPr>
    </w:lvl>
  </w:abstractNum>
  <w:num w:numId="1" w16cid:durableId="170990700">
    <w:abstractNumId w:val="14"/>
  </w:num>
  <w:num w:numId="2" w16cid:durableId="288321349">
    <w:abstractNumId w:val="4"/>
  </w:num>
  <w:num w:numId="3" w16cid:durableId="1053697226">
    <w:abstractNumId w:val="16"/>
  </w:num>
  <w:num w:numId="4" w16cid:durableId="115949255">
    <w:abstractNumId w:val="6"/>
  </w:num>
  <w:num w:numId="5" w16cid:durableId="115830068">
    <w:abstractNumId w:val="8"/>
  </w:num>
  <w:num w:numId="6" w16cid:durableId="1375885565">
    <w:abstractNumId w:val="15"/>
  </w:num>
  <w:num w:numId="7" w16cid:durableId="476532996">
    <w:abstractNumId w:val="18"/>
  </w:num>
  <w:num w:numId="8" w16cid:durableId="1966697174">
    <w:abstractNumId w:val="12"/>
  </w:num>
  <w:num w:numId="9" w16cid:durableId="341711825">
    <w:abstractNumId w:val="7"/>
  </w:num>
  <w:num w:numId="10" w16cid:durableId="1127358570">
    <w:abstractNumId w:val="1"/>
  </w:num>
  <w:num w:numId="11" w16cid:durableId="1580365398">
    <w:abstractNumId w:val="5"/>
  </w:num>
  <w:num w:numId="12" w16cid:durableId="2021085546">
    <w:abstractNumId w:val="11"/>
  </w:num>
  <w:num w:numId="13" w16cid:durableId="899556062">
    <w:abstractNumId w:val="2"/>
  </w:num>
  <w:num w:numId="14" w16cid:durableId="1839806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818757">
    <w:abstractNumId w:val="10"/>
  </w:num>
  <w:num w:numId="16" w16cid:durableId="656768291">
    <w:abstractNumId w:val="3"/>
  </w:num>
  <w:num w:numId="17" w16cid:durableId="489103064">
    <w:abstractNumId w:val="3"/>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112481869">
    <w:abstractNumId w:val="9"/>
  </w:num>
  <w:num w:numId="19" w16cid:durableId="3670268">
    <w:abstractNumId w:val="13"/>
  </w:num>
  <w:num w:numId="20" w16cid:durableId="62221921">
    <w:abstractNumId w:val="19"/>
  </w:num>
  <w:num w:numId="21" w16cid:durableId="884292432">
    <w:abstractNumId w:val="17"/>
  </w:num>
  <w:num w:numId="22" w16cid:durableId="898323233">
    <w:abstractNumId w:val="20"/>
  </w:num>
  <w:num w:numId="23" w16cid:durableId="100028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04888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478D"/>
    <w:rsid w:val="00006FF9"/>
    <w:rsid w:val="00010164"/>
    <w:rsid w:val="000108D6"/>
    <w:rsid w:val="00012653"/>
    <w:rsid w:val="00015EEC"/>
    <w:rsid w:val="000173C9"/>
    <w:rsid w:val="00017770"/>
    <w:rsid w:val="0002598F"/>
    <w:rsid w:val="00026468"/>
    <w:rsid w:val="000301DE"/>
    <w:rsid w:val="0003047C"/>
    <w:rsid w:val="00031287"/>
    <w:rsid w:val="00031899"/>
    <w:rsid w:val="0003387B"/>
    <w:rsid w:val="00047199"/>
    <w:rsid w:val="00052415"/>
    <w:rsid w:val="00061882"/>
    <w:rsid w:val="00061A27"/>
    <w:rsid w:val="00062058"/>
    <w:rsid w:val="00065709"/>
    <w:rsid w:val="00070A7B"/>
    <w:rsid w:val="000756BD"/>
    <w:rsid w:val="000771EF"/>
    <w:rsid w:val="000771F9"/>
    <w:rsid w:val="000929BD"/>
    <w:rsid w:val="00092AB3"/>
    <w:rsid w:val="00094994"/>
    <w:rsid w:val="00096570"/>
    <w:rsid w:val="0009682D"/>
    <w:rsid w:val="00097144"/>
    <w:rsid w:val="00097E66"/>
    <w:rsid w:val="000A341A"/>
    <w:rsid w:val="000A35BC"/>
    <w:rsid w:val="000A41A7"/>
    <w:rsid w:val="000A5A3E"/>
    <w:rsid w:val="000A68FE"/>
    <w:rsid w:val="000A7D5C"/>
    <w:rsid w:val="000B298D"/>
    <w:rsid w:val="000B7559"/>
    <w:rsid w:val="000C05A2"/>
    <w:rsid w:val="000C0DD0"/>
    <w:rsid w:val="000C2203"/>
    <w:rsid w:val="000C583A"/>
    <w:rsid w:val="000D07A7"/>
    <w:rsid w:val="000D1C64"/>
    <w:rsid w:val="000D2BCA"/>
    <w:rsid w:val="000E3117"/>
    <w:rsid w:val="000E40C1"/>
    <w:rsid w:val="000E65B4"/>
    <w:rsid w:val="000E6AFD"/>
    <w:rsid w:val="000E796F"/>
    <w:rsid w:val="000F30B2"/>
    <w:rsid w:val="000F3D64"/>
    <w:rsid w:val="00100622"/>
    <w:rsid w:val="00101250"/>
    <w:rsid w:val="001041AD"/>
    <w:rsid w:val="001049FE"/>
    <w:rsid w:val="00107BDF"/>
    <w:rsid w:val="00114E27"/>
    <w:rsid w:val="00116F44"/>
    <w:rsid w:val="0011721D"/>
    <w:rsid w:val="00117510"/>
    <w:rsid w:val="0012362E"/>
    <w:rsid w:val="001240C3"/>
    <w:rsid w:val="001254B2"/>
    <w:rsid w:val="00127710"/>
    <w:rsid w:val="00127882"/>
    <w:rsid w:val="00127A6E"/>
    <w:rsid w:val="001303C0"/>
    <w:rsid w:val="0013350A"/>
    <w:rsid w:val="00135357"/>
    <w:rsid w:val="001416D0"/>
    <w:rsid w:val="0014344E"/>
    <w:rsid w:val="00143C83"/>
    <w:rsid w:val="00144834"/>
    <w:rsid w:val="00145EE3"/>
    <w:rsid w:val="001518BF"/>
    <w:rsid w:val="00151B70"/>
    <w:rsid w:val="0016218F"/>
    <w:rsid w:val="0016777B"/>
    <w:rsid w:val="00167D69"/>
    <w:rsid w:val="00167FF3"/>
    <w:rsid w:val="00183B8C"/>
    <w:rsid w:val="00183F4A"/>
    <w:rsid w:val="00185744"/>
    <w:rsid w:val="00190062"/>
    <w:rsid w:val="00190950"/>
    <w:rsid w:val="001914E3"/>
    <w:rsid w:val="00192FED"/>
    <w:rsid w:val="0019607B"/>
    <w:rsid w:val="00196E36"/>
    <w:rsid w:val="001A19D4"/>
    <w:rsid w:val="001A1C1F"/>
    <w:rsid w:val="001A4BF0"/>
    <w:rsid w:val="001A5CD5"/>
    <w:rsid w:val="001B09EB"/>
    <w:rsid w:val="001B1DB2"/>
    <w:rsid w:val="001B4897"/>
    <w:rsid w:val="001B68D7"/>
    <w:rsid w:val="001B6A83"/>
    <w:rsid w:val="001B767B"/>
    <w:rsid w:val="001C0D1C"/>
    <w:rsid w:val="001C4AED"/>
    <w:rsid w:val="001C4BC3"/>
    <w:rsid w:val="001C78DE"/>
    <w:rsid w:val="001D363A"/>
    <w:rsid w:val="001F1BD6"/>
    <w:rsid w:val="001F2866"/>
    <w:rsid w:val="001F7DB9"/>
    <w:rsid w:val="00201048"/>
    <w:rsid w:val="002062DC"/>
    <w:rsid w:val="0021235C"/>
    <w:rsid w:val="00214188"/>
    <w:rsid w:val="00214D71"/>
    <w:rsid w:val="00215D79"/>
    <w:rsid w:val="00215FEF"/>
    <w:rsid w:val="0021651F"/>
    <w:rsid w:val="00217272"/>
    <w:rsid w:val="00217E23"/>
    <w:rsid w:val="002207DF"/>
    <w:rsid w:val="00221C69"/>
    <w:rsid w:val="002254E2"/>
    <w:rsid w:val="00226383"/>
    <w:rsid w:val="00226CCB"/>
    <w:rsid w:val="00226D4B"/>
    <w:rsid w:val="0023184F"/>
    <w:rsid w:val="00231A13"/>
    <w:rsid w:val="00231DD9"/>
    <w:rsid w:val="0023300A"/>
    <w:rsid w:val="00233672"/>
    <w:rsid w:val="00235417"/>
    <w:rsid w:val="002400FD"/>
    <w:rsid w:val="00240F59"/>
    <w:rsid w:val="0024511E"/>
    <w:rsid w:val="0024553A"/>
    <w:rsid w:val="00245B2F"/>
    <w:rsid w:val="00246113"/>
    <w:rsid w:val="00247AAD"/>
    <w:rsid w:val="00252F86"/>
    <w:rsid w:val="002530CD"/>
    <w:rsid w:val="002541F0"/>
    <w:rsid w:val="0025637C"/>
    <w:rsid w:val="002604E9"/>
    <w:rsid w:val="002608AA"/>
    <w:rsid w:val="00260A75"/>
    <w:rsid w:val="00263674"/>
    <w:rsid w:val="0026547B"/>
    <w:rsid w:val="00265E62"/>
    <w:rsid w:val="0026658C"/>
    <w:rsid w:val="00273AE5"/>
    <w:rsid w:val="00274B75"/>
    <w:rsid w:val="0027707E"/>
    <w:rsid w:val="0028085F"/>
    <w:rsid w:val="00280D00"/>
    <w:rsid w:val="0028517A"/>
    <w:rsid w:val="0028557D"/>
    <w:rsid w:val="00287F83"/>
    <w:rsid w:val="00294826"/>
    <w:rsid w:val="00294D7D"/>
    <w:rsid w:val="002954A2"/>
    <w:rsid w:val="002955BA"/>
    <w:rsid w:val="00295A9B"/>
    <w:rsid w:val="00296635"/>
    <w:rsid w:val="002A1751"/>
    <w:rsid w:val="002A3991"/>
    <w:rsid w:val="002A3AA6"/>
    <w:rsid w:val="002A695A"/>
    <w:rsid w:val="002B19A4"/>
    <w:rsid w:val="002B560C"/>
    <w:rsid w:val="002B632C"/>
    <w:rsid w:val="002B7D15"/>
    <w:rsid w:val="002C16EB"/>
    <w:rsid w:val="002C3685"/>
    <w:rsid w:val="002C7769"/>
    <w:rsid w:val="002D1B31"/>
    <w:rsid w:val="002E0530"/>
    <w:rsid w:val="002E0EB0"/>
    <w:rsid w:val="002E1750"/>
    <w:rsid w:val="002E1E52"/>
    <w:rsid w:val="002E3001"/>
    <w:rsid w:val="002E5E85"/>
    <w:rsid w:val="002F0E07"/>
    <w:rsid w:val="002F2E07"/>
    <w:rsid w:val="002F5ABA"/>
    <w:rsid w:val="003026F1"/>
    <w:rsid w:val="00302984"/>
    <w:rsid w:val="0030766C"/>
    <w:rsid w:val="0031060C"/>
    <w:rsid w:val="00311D20"/>
    <w:rsid w:val="003168F1"/>
    <w:rsid w:val="00320CEE"/>
    <w:rsid w:val="00322D5E"/>
    <w:rsid w:val="0033001C"/>
    <w:rsid w:val="00333329"/>
    <w:rsid w:val="00336977"/>
    <w:rsid w:val="003439C4"/>
    <w:rsid w:val="003458AC"/>
    <w:rsid w:val="00345C62"/>
    <w:rsid w:val="0034659D"/>
    <w:rsid w:val="003478F8"/>
    <w:rsid w:val="003559D0"/>
    <w:rsid w:val="0036088D"/>
    <w:rsid w:val="00362DD5"/>
    <w:rsid w:val="00363C9F"/>
    <w:rsid w:val="003649DA"/>
    <w:rsid w:val="00365A3F"/>
    <w:rsid w:val="00366250"/>
    <w:rsid w:val="00373509"/>
    <w:rsid w:val="00375B3B"/>
    <w:rsid w:val="00377830"/>
    <w:rsid w:val="00380ECF"/>
    <w:rsid w:val="0038187D"/>
    <w:rsid w:val="003831D1"/>
    <w:rsid w:val="00383ACE"/>
    <w:rsid w:val="0038494A"/>
    <w:rsid w:val="003862F5"/>
    <w:rsid w:val="003876F4"/>
    <w:rsid w:val="00387CB9"/>
    <w:rsid w:val="0039051D"/>
    <w:rsid w:val="003906F0"/>
    <w:rsid w:val="00391E64"/>
    <w:rsid w:val="00391EA5"/>
    <w:rsid w:val="00394534"/>
    <w:rsid w:val="003A1A65"/>
    <w:rsid w:val="003A3F2B"/>
    <w:rsid w:val="003A5CDD"/>
    <w:rsid w:val="003A5D93"/>
    <w:rsid w:val="003B0C47"/>
    <w:rsid w:val="003B1638"/>
    <w:rsid w:val="003B2D10"/>
    <w:rsid w:val="003B7119"/>
    <w:rsid w:val="003B7479"/>
    <w:rsid w:val="003C4053"/>
    <w:rsid w:val="003C4D43"/>
    <w:rsid w:val="003C5E00"/>
    <w:rsid w:val="003C5E11"/>
    <w:rsid w:val="003C751C"/>
    <w:rsid w:val="003D182F"/>
    <w:rsid w:val="003D2D4E"/>
    <w:rsid w:val="003D49A5"/>
    <w:rsid w:val="003D4A96"/>
    <w:rsid w:val="003D73D5"/>
    <w:rsid w:val="003E379D"/>
    <w:rsid w:val="003E4A00"/>
    <w:rsid w:val="003E6CA5"/>
    <w:rsid w:val="003E718B"/>
    <w:rsid w:val="003E7419"/>
    <w:rsid w:val="003F14B2"/>
    <w:rsid w:val="003F3EE4"/>
    <w:rsid w:val="003F4A7D"/>
    <w:rsid w:val="003F5DDF"/>
    <w:rsid w:val="003F64B9"/>
    <w:rsid w:val="003F6DBA"/>
    <w:rsid w:val="00401C43"/>
    <w:rsid w:val="0040385E"/>
    <w:rsid w:val="004074D8"/>
    <w:rsid w:val="00411D8E"/>
    <w:rsid w:val="0041757E"/>
    <w:rsid w:val="004214AF"/>
    <w:rsid w:val="004214DE"/>
    <w:rsid w:val="0042207E"/>
    <w:rsid w:val="004267B6"/>
    <w:rsid w:val="00430D2A"/>
    <w:rsid w:val="00431473"/>
    <w:rsid w:val="00433909"/>
    <w:rsid w:val="00434147"/>
    <w:rsid w:val="0043564A"/>
    <w:rsid w:val="0043778D"/>
    <w:rsid w:val="00440900"/>
    <w:rsid w:val="00446749"/>
    <w:rsid w:val="0045225B"/>
    <w:rsid w:val="00452B73"/>
    <w:rsid w:val="00452CBC"/>
    <w:rsid w:val="004615D3"/>
    <w:rsid w:val="00465242"/>
    <w:rsid w:val="00471213"/>
    <w:rsid w:val="0047142C"/>
    <w:rsid w:val="004731E6"/>
    <w:rsid w:val="00474D8E"/>
    <w:rsid w:val="0048071C"/>
    <w:rsid w:val="004815C0"/>
    <w:rsid w:val="004820EA"/>
    <w:rsid w:val="00483D8A"/>
    <w:rsid w:val="00487487"/>
    <w:rsid w:val="00487995"/>
    <w:rsid w:val="004928C0"/>
    <w:rsid w:val="00492EBF"/>
    <w:rsid w:val="00493782"/>
    <w:rsid w:val="004939E1"/>
    <w:rsid w:val="00496AA9"/>
    <w:rsid w:val="004A71D9"/>
    <w:rsid w:val="004B29A1"/>
    <w:rsid w:val="004B46D5"/>
    <w:rsid w:val="004B64DD"/>
    <w:rsid w:val="004B65E5"/>
    <w:rsid w:val="004B77AD"/>
    <w:rsid w:val="004C3472"/>
    <w:rsid w:val="004C5591"/>
    <w:rsid w:val="004C5B87"/>
    <w:rsid w:val="004D52CE"/>
    <w:rsid w:val="004D64F0"/>
    <w:rsid w:val="004D7302"/>
    <w:rsid w:val="004D779E"/>
    <w:rsid w:val="004E0186"/>
    <w:rsid w:val="004E3D73"/>
    <w:rsid w:val="004E3F32"/>
    <w:rsid w:val="004E5A61"/>
    <w:rsid w:val="004F06A8"/>
    <w:rsid w:val="004F1B05"/>
    <w:rsid w:val="004F2289"/>
    <w:rsid w:val="004F6114"/>
    <w:rsid w:val="004F73D4"/>
    <w:rsid w:val="004F75D0"/>
    <w:rsid w:val="00502080"/>
    <w:rsid w:val="0050433B"/>
    <w:rsid w:val="00511319"/>
    <w:rsid w:val="00511E82"/>
    <w:rsid w:val="0051545C"/>
    <w:rsid w:val="00515821"/>
    <w:rsid w:val="00516A4E"/>
    <w:rsid w:val="00517D00"/>
    <w:rsid w:val="00520F4D"/>
    <w:rsid w:val="00520FB8"/>
    <w:rsid w:val="00521E18"/>
    <w:rsid w:val="00522248"/>
    <w:rsid w:val="00522EF7"/>
    <w:rsid w:val="00523C44"/>
    <w:rsid w:val="00524BB4"/>
    <w:rsid w:val="00532E24"/>
    <w:rsid w:val="005347DF"/>
    <w:rsid w:val="00536EA3"/>
    <w:rsid w:val="00542F9A"/>
    <w:rsid w:val="00544B46"/>
    <w:rsid w:val="00554E79"/>
    <w:rsid w:val="005557FF"/>
    <w:rsid w:val="00557258"/>
    <w:rsid w:val="005573F0"/>
    <w:rsid w:val="005577A5"/>
    <w:rsid w:val="00564897"/>
    <w:rsid w:val="0056694F"/>
    <w:rsid w:val="00570EE2"/>
    <w:rsid w:val="00572366"/>
    <w:rsid w:val="00573FF0"/>
    <w:rsid w:val="005754DF"/>
    <w:rsid w:val="00576669"/>
    <w:rsid w:val="00580BE8"/>
    <w:rsid w:val="0058147D"/>
    <w:rsid w:val="00581733"/>
    <w:rsid w:val="005829F3"/>
    <w:rsid w:val="00582FB6"/>
    <w:rsid w:val="00583961"/>
    <w:rsid w:val="0058555C"/>
    <w:rsid w:val="0058618F"/>
    <w:rsid w:val="0059242D"/>
    <w:rsid w:val="00592BE8"/>
    <w:rsid w:val="005946DA"/>
    <w:rsid w:val="00595E8B"/>
    <w:rsid w:val="005969E5"/>
    <w:rsid w:val="0059799D"/>
    <w:rsid w:val="005A0391"/>
    <w:rsid w:val="005A3B0C"/>
    <w:rsid w:val="005B031E"/>
    <w:rsid w:val="005B0885"/>
    <w:rsid w:val="005B156B"/>
    <w:rsid w:val="005B3244"/>
    <w:rsid w:val="005B4BF0"/>
    <w:rsid w:val="005B685E"/>
    <w:rsid w:val="005C0902"/>
    <w:rsid w:val="005C289B"/>
    <w:rsid w:val="005C74C4"/>
    <w:rsid w:val="005C7622"/>
    <w:rsid w:val="005D0433"/>
    <w:rsid w:val="005D2F69"/>
    <w:rsid w:val="005D54AD"/>
    <w:rsid w:val="005D6B65"/>
    <w:rsid w:val="005D75CA"/>
    <w:rsid w:val="005E099D"/>
    <w:rsid w:val="005E68B5"/>
    <w:rsid w:val="005F2031"/>
    <w:rsid w:val="00602797"/>
    <w:rsid w:val="006034A7"/>
    <w:rsid w:val="00606A7B"/>
    <w:rsid w:val="006078FA"/>
    <w:rsid w:val="00611C8C"/>
    <w:rsid w:val="0061206E"/>
    <w:rsid w:val="0061783E"/>
    <w:rsid w:val="00617F94"/>
    <w:rsid w:val="00620280"/>
    <w:rsid w:val="00620AB8"/>
    <w:rsid w:val="00620CCB"/>
    <w:rsid w:val="00624549"/>
    <w:rsid w:val="00631528"/>
    <w:rsid w:val="0063475A"/>
    <w:rsid w:val="006354A0"/>
    <w:rsid w:val="00637AFF"/>
    <w:rsid w:val="00637F9E"/>
    <w:rsid w:val="006460B1"/>
    <w:rsid w:val="006475A5"/>
    <w:rsid w:val="006475C9"/>
    <w:rsid w:val="0064793E"/>
    <w:rsid w:val="00650736"/>
    <w:rsid w:val="00655485"/>
    <w:rsid w:val="0065768B"/>
    <w:rsid w:val="00662EA0"/>
    <w:rsid w:val="006662B8"/>
    <w:rsid w:val="00667EC1"/>
    <w:rsid w:val="006700C9"/>
    <w:rsid w:val="006700F6"/>
    <w:rsid w:val="00672130"/>
    <w:rsid w:val="00673A8C"/>
    <w:rsid w:val="00673F15"/>
    <w:rsid w:val="0067459D"/>
    <w:rsid w:val="00674B61"/>
    <w:rsid w:val="00674CE3"/>
    <w:rsid w:val="0067517A"/>
    <w:rsid w:val="006769AB"/>
    <w:rsid w:val="00676C38"/>
    <w:rsid w:val="00681FFA"/>
    <w:rsid w:val="00683166"/>
    <w:rsid w:val="00684EED"/>
    <w:rsid w:val="006854F4"/>
    <w:rsid w:val="00686700"/>
    <w:rsid w:val="0068670A"/>
    <w:rsid w:val="00690C51"/>
    <w:rsid w:val="006930C5"/>
    <w:rsid w:val="006A0BDE"/>
    <w:rsid w:val="006A2DFB"/>
    <w:rsid w:val="006A3DAB"/>
    <w:rsid w:val="006A4CB1"/>
    <w:rsid w:val="006A70F6"/>
    <w:rsid w:val="006A7344"/>
    <w:rsid w:val="006B23FD"/>
    <w:rsid w:val="006B587E"/>
    <w:rsid w:val="006C21C5"/>
    <w:rsid w:val="006D3DDB"/>
    <w:rsid w:val="006D3F55"/>
    <w:rsid w:val="006D4144"/>
    <w:rsid w:val="006E15D1"/>
    <w:rsid w:val="006F04D9"/>
    <w:rsid w:val="006F28FE"/>
    <w:rsid w:val="006F6974"/>
    <w:rsid w:val="006F6F47"/>
    <w:rsid w:val="007026F6"/>
    <w:rsid w:val="0070549C"/>
    <w:rsid w:val="00710822"/>
    <w:rsid w:val="0071501B"/>
    <w:rsid w:val="007161C1"/>
    <w:rsid w:val="00716606"/>
    <w:rsid w:val="00723931"/>
    <w:rsid w:val="0072397A"/>
    <w:rsid w:val="00724858"/>
    <w:rsid w:val="00726FBB"/>
    <w:rsid w:val="00727295"/>
    <w:rsid w:val="00731293"/>
    <w:rsid w:val="007336AC"/>
    <w:rsid w:val="00740624"/>
    <w:rsid w:val="00746A27"/>
    <w:rsid w:val="00750F4C"/>
    <w:rsid w:val="0075561E"/>
    <w:rsid w:val="0075589F"/>
    <w:rsid w:val="0076262A"/>
    <w:rsid w:val="00765C25"/>
    <w:rsid w:val="0076690E"/>
    <w:rsid w:val="00770B7D"/>
    <w:rsid w:val="0077149B"/>
    <w:rsid w:val="007722FA"/>
    <w:rsid w:val="007757AC"/>
    <w:rsid w:val="00782602"/>
    <w:rsid w:val="00785A37"/>
    <w:rsid w:val="00785BCE"/>
    <w:rsid w:val="00795DFF"/>
    <w:rsid w:val="00795F8B"/>
    <w:rsid w:val="0079795A"/>
    <w:rsid w:val="007A230A"/>
    <w:rsid w:val="007B0469"/>
    <w:rsid w:val="007B69A7"/>
    <w:rsid w:val="007B7AAB"/>
    <w:rsid w:val="007C04BF"/>
    <w:rsid w:val="007C1397"/>
    <w:rsid w:val="007C3433"/>
    <w:rsid w:val="007C3BD5"/>
    <w:rsid w:val="007C3BE5"/>
    <w:rsid w:val="007D3039"/>
    <w:rsid w:val="007E098E"/>
    <w:rsid w:val="007E37FE"/>
    <w:rsid w:val="007E5AD1"/>
    <w:rsid w:val="007F3FD9"/>
    <w:rsid w:val="007F426B"/>
    <w:rsid w:val="007F5D12"/>
    <w:rsid w:val="007F665B"/>
    <w:rsid w:val="007F72A8"/>
    <w:rsid w:val="00800F88"/>
    <w:rsid w:val="00801257"/>
    <w:rsid w:val="00804776"/>
    <w:rsid w:val="00811A47"/>
    <w:rsid w:val="008129B0"/>
    <w:rsid w:val="00816B6D"/>
    <w:rsid w:val="00820C58"/>
    <w:rsid w:val="00822D99"/>
    <w:rsid w:val="00824850"/>
    <w:rsid w:val="008271D6"/>
    <w:rsid w:val="00830E89"/>
    <w:rsid w:val="00831C00"/>
    <w:rsid w:val="00832268"/>
    <w:rsid w:val="00832A94"/>
    <w:rsid w:val="00835107"/>
    <w:rsid w:val="008367B2"/>
    <w:rsid w:val="00836A53"/>
    <w:rsid w:val="008374EB"/>
    <w:rsid w:val="0083773F"/>
    <w:rsid w:val="00840549"/>
    <w:rsid w:val="00844202"/>
    <w:rsid w:val="00847FCE"/>
    <w:rsid w:val="0085372F"/>
    <w:rsid w:val="0085420B"/>
    <w:rsid w:val="00854BDC"/>
    <w:rsid w:val="008569B8"/>
    <w:rsid w:val="008576C0"/>
    <w:rsid w:val="00857E55"/>
    <w:rsid w:val="00860F63"/>
    <w:rsid w:val="00862741"/>
    <w:rsid w:val="00863B22"/>
    <w:rsid w:val="0087033B"/>
    <w:rsid w:val="00873B69"/>
    <w:rsid w:val="00874FB1"/>
    <w:rsid w:val="00875A00"/>
    <w:rsid w:val="00883019"/>
    <w:rsid w:val="00887AC4"/>
    <w:rsid w:val="008916F2"/>
    <w:rsid w:val="00892673"/>
    <w:rsid w:val="00893D1A"/>
    <w:rsid w:val="00895AA2"/>
    <w:rsid w:val="00896582"/>
    <w:rsid w:val="008A11F9"/>
    <w:rsid w:val="008A7ACC"/>
    <w:rsid w:val="008B1850"/>
    <w:rsid w:val="008B46C5"/>
    <w:rsid w:val="008B7C2D"/>
    <w:rsid w:val="008C0C65"/>
    <w:rsid w:val="008C196E"/>
    <w:rsid w:val="008C53A5"/>
    <w:rsid w:val="008C5D3B"/>
    <w:rsid w:val="008C62E5"/>
    <w:rsid w:val="008D0CB0"/>
    <w:rsid w:val="008D1AFA"/>
    <w:rsid w:val="008D1CAC"/>
    <w:rsid w:val="008D2436"/>
    <w:rsid w:val="008D2EF2"/>
    <w:rsid w:val="008D4C30"/>
    <w:rsid w:val="008D61AB"/>
    <w:rsid w:val="008D7BEB"/>
    <w:rsid w:val="008E0342"/>
    <w:rsid w:val="008E1AE1"/>
    <w:rsid w:val="008E216A"/>
    <w:rsid w:val="008E30E9"/>
    <w:rsid w:val="008E696A"/>
    <w:rsid w:val="008F1754"/>
    <w:rsid w:val="008F3E39"/>
    <w:rsid w:val="008F6525"/>
    <w:rsid w:val="00900BBF"/>
    <w:rsid w:val="00904A8D"/>
    <w:rsid w:val="0091243F"/>
    <w:rsid w:val="00913EA2"/>
    <w:rsid w:val="009158FB"/>
    <w:rsid w:val="00916AE2"/>
    <w:rsid w:val="00917E4B"/>
    <w:rsid w:val="00923ACD"/>
    <w:rsid w:val="00926E18"/>
    <w:rsid w:val="00934CC8"/>
    <w:rsid w:val="00940954"/>
    <w:rsid w:val="00941693"/>
    <w:rsid w:val="009421B9"/>
    <w:rsid w:val="00942B94"/>
    <w:rsid w:val="009477FA"/>
    <w:rsid w:val="00951DBD"/>
    <w:rsid w:val="00953FAC"/>
    <w:rsid w:val="00962780"/>
    <w:rsid w:val="0097028A"/>
    <w:rsid w:val="009703FB"/>
    <w:rsid w:val="00971596"/>
    <w:rsid w:val="009723F6"/>
    <w:rsid w:val="00973629"/>
    <w:rsid w:val="00973836"/>
    <w:rsid w:val="00976339"/>
    <w:rsid w:val="009766CE"/>
    <w:rsid w:val="00980EB4"/>
    <w:rsid w:val="00984535"/>
    <w:rsid w:val="00992439"/>
    <w:rsid w:val="00993C31"/>
    <w:rsid w:val="009966B1"/>
    <w:rsid w:val="009A0844"/>
    <w:rsid w:val="009A16B2"/>
    <w:rsid w:val="009A4616"/>
    <w:rsid w:val="009A4C40"/>
    <w:rsid w:val="009A4EA7"/>
    <w:rsid w:val="009A6754"/>
    <w:rsid w:val="009A7244"/>
    <w:rsid w:val="009B0059"/>
    <w:rsid w:val="009B1153"/>
    <w:rsid w:val="009B16A2"/>
    <w:rsid w:val="009B26F9"/>
    <w:rsid w:val="009B2BC4"/>
    <w:rsid w:val="009B321C"/>
    <w:rsid w:val="009B390A"/>
    <w:rsid w:val="009B46E4"/>
    <w:rsid w:val="009C7C15"/>
    <w:rsid w:val="009D3532"/>
    <w:rsid w:val="009D37D7"/>
    <w:rsid w:val="009D54BA"/>
    <w:rsid w:val="009D5562"/>
    <w:rsid w:val="009E02B0"/>
    <w:rsid w:val="009E2634"/>
    <w:rsid w:val="009E5550"/>
    <w:rsid w:val="009E63E1"/>
    <w:rsid w:val="009F6D5A"/>
    <w:rsid w:val="00A024EF"/>
    <w:rsid w:val="00A03366"/>
    <w:rsid w:val="00A0387E"/>
    <w:rsid w:val="00A07508"/>
    <w:rsid w:val="00A17B6B"/>
    <w:rsid w:val="00A2301E"/>
    <w:rsid w:val="00A23CB5"/>
    <w:rsid w:val="00A25AB8"/>
    <w:rsid w:val="00A26266"/>
    <w:rsid w:val="00A27D29"/>
    <w:rsid w:val="00A31048"/>
    <w:rsid w:val="00A347BD"/>
    <w:rsid w:val="00A40001"/>
    <w:rsid w:val="00A42554"/>
    <w:rsid w:val="00A42732"/>
    <w:rsid w:val="00A436B4"/>
    <w:rsid w:val="00A43827"/>
    <w:rsid w:val="00A45E7F"/>
    <w:rsid w:val="00A47617"/>
    <w:rsid w:val="00A52154"/>
    <w:rsid w:val="00A551FF"/>
    <w:rsid w:val="00A601EA"/>
    <w:rsid w:val="00A62D42"/>
    <w:rsid w:val="00A63269"/>
    <w:rsid w:val="00A64358"/>
    <w:rsid w:val="00A70B24"/>
    <w:rsid w:val="00A71CF8"/>
    <w:rsid w:val="00A7250E"/>
    <w:rsid w:val="00A73995"/>
    <w:rsid w:val="00A840C9"/>
    <w:rsid w:val="00A87A9F"/>
    <w:rsid w:val="00A91A59"/>
    <w:rsid w:val="00A95833"/>
    <w:rsid w:val="00A95D02"/>
    <w:rsid w:val="00A970D3"/>
    <w:rsid w:val="00A97782"/>
    <w:rsid w:val="00AA0A18"/>
    <w:rsid w:val="00AA108C"/>
    <w:rsid w:val="00AA2A45"/>
    <w:rsid w:val="00AA34DA"/>
    <w:rsid w:val="00AA44F4"/>
    <w:rsid w:val="00AA5508"/>
    <w:rsid w:val="00AA6B4A"/>
    <w:rsid w:val="00AB381B"/>
    <w:rsid w:val="00AB559F"/>
    <w:rsid w:val="00AC2886"/>
    <w:rsid w:val="00AC47BB"/>
    <w:rsid w:val="00AC4B86"/>
    <w:rsid w:val="00AD22C1"/>
    <w:rsid w:val="00AD3582"/>
    <w:rsid w:val="00AD3CF0"/>
    <w:rsid w:val="00AD6DA3"/>
    <w:rsid w:val="00AD6EF5"/>
    <w:rsid w:val="00AD6FAE"/>
    <w:rsid w:val="00AD7CA1"/>
    <w:rsid w:val="00AE250C"/>
    <w:rsid w:val="00AE39A9"/>
    <w:rsid w:val="00AE4452"/>
    <w:rsid w:val="00AE55CE"/>
    <w:rsid w:val="00AE66E8"/>
    <w:rsid w:val="00AE7845"/>
    <w:rsid w:val="00AF1770"/>
    <w:rsid w:val="00B003C7"/>
    <w:rsid w:val="00B008FF"/>
    <w:rsid w:val="00B02A79"/>
    <w:rsid w:val="00B03C38"/>
    <w:rsid w:val="00B101D4"/>
    <w:rsid w:val="00B12F56"/>
    <w:rsid w:val="00B13529"/>
    <w:rsid w:val="00B13B9E"/>
    <w:rsid w:val="00B151F6"/>
    <w:rsid w:val="00B17C05"/>
    <w:rsid w:val="00B246DD"/>
    <w:rsid w:val="00B2788F"/>
    <w:rsid w:val="00B309FD"/>
    <w:rsid w:val="00B41B6B"/>
    <w:rsid w:val="00B424F2"/>
    <w:rsid w:val="00B44322"/>
    <w:rsid w:val="00B44F16"/>
    <w:rsid w:val="00B51CF5"/>
    <w:rsid w:val="00B52ECF"/>
    <w:rsid w:val="00B535D5"/>
    <w:rsid w:val="00B54EDC"/>
    <w:rsid w:val="00B55902"/>
    <w:rsid w:val="00B621A2"/>
    <w:rsid w:val="00B62486"/>
    <w:rsid w:val="00B66EFC"/>
    <w:rsid w:val="00B67786"/>
    <w:rsid w:val="00B7057B"/>
    <w:rsid w:val="00B7164F"/>
    <w:rsid w:val="00B74744"/>
    <w:rsid w:val="00B80FD3"/>
    <w:rsid w:val="00B84AA1"/>
    <w:rsid w:val="00B84EFD"/>
    <w:rsid w:val="00B87B49"/>
    <w:rsid w:val="00B93D7E"/>
    <w:rsid w:val="00B95ADB"/>
    <w:rsid w:val="00B96E3F"/>
    <w:rsid w:val="00B97F5A"/>
    <w:rsid w:val="00BA02DD"/>
    <w:rsid w:val="00BA21E8"/>
    <w:rsid w:val="00BB1292"/>
    <w:rsid w:val="00BB5DAC"/>
    <w:rsid w:val="00BB663D"/>
    <w:rsid w:val="00BB6BD6"/>
    <w:rsid w:val="00BC0741"/>
    <w:rsid w:val="00BC79D0"/>
    <w:rsid w:val="00BD0968"/>
    <w:rsid w:val="00BD182B"/>
    <w:rsid w:val="00BD2E8F"/>
    <w:rsid w:val="00BD6E52"/>
    <w:rsid w:val="00BE21AA"/>
    <w:rsid w:val="00BE3F0B"/>
    <w:rsid w:val="00BE421C"/>
    <w:rsid w:val="00BE52A7"/>
    <w:rsid w:val="00BE6C6C"/>
    <w:rsid w:val="00BF0280"/>
    <w:rsid w:val="00BF0353"/>
    <w:rsid w:val="00BF1AB6"/>
    <w:rsid w:val="00BF2A30"/>
    <w:rsid w:val="00BF5B13"/>
    <w:rsid w:val="00BF6347"/>
    <w:rsid w:val="00BF7565"/>
    <w:rsid w:val="00BF7C56"/>
    <w:rsid w:val="00C03488"/>
    <w:rsid w:val="00C0603D"/>
    <w:rsid w:val="00C06259"/>
    <w:rsid w:val="00C068F8"/>
    <w:rsid w:val="00C06B3E"/>
    <w:rsid w:val="00C11AF4"/>
    <w:rsid w:val="00C17D60"/>
    <w:rsid w:val="00C21513"/>
    <w:rsid w:val="00C24278"/>
    <w:rsid w:val="00C25395"/>
    <w:rsid w:val="00C25B59"/>
    <w:rsid w:val="00C27108"/>
    <w:rsid w:val="00C35F2A"/>
    <w:rsid w:val="00C37417"/>
    <w:rsid w:val="00C40445"/>
    <w:rsid w:val="00C4181A"/>
    <w:rsid w:val="00C43D7F"/>
    <w:rsid w:val="00C444CF"/>
    <w:rsid w:val="00C46B77"/>
    <w:rsid w:val="00C46F3C"/>
    <w:rsid w:val="00C50633"/>
    <w:rsid w:val="00C5394A"/>
    <w:rsid w:val="00C53CBD"/>
    <w:rsid w:val="00C54820"/>
    <w:rsid w:val="00C575BA"/>
    <w:rsid w:val="00C57EC9"/>
    <w:rsid w:val="00C62C23"/>
    <w:rsid w:val="00C6521D"/>
    <w:rsid w:val="00C70317"/>
    <w:rsid w:val="00C7068E"/>
    <w:rsid w:val="00C7479D"/>
    <w:rsid w:val="00C76FB5"/>
    <w:rsid w:val="00C77117"/>
    <w:rsid w:val="00C80A72"/>
    <w:rsid w:val="00C8514D"/>
    <w:rsid w:val="00C86AFF"/>
    <w:rsid w:val="00C9020A"/>
    <w:rsid w:val="00C91988"/>
    <w:rsid w:val="00CA2D2F"/>
    <w:rsid w:val="00CA2F0C"/>
    <w:rsid w:val="00CB02D3"/>
    <w:rsid w:val="00CB0925"/>
    <w:rsid w:val="00CB1AFF"/>
    <w:rsid w:val="00CB21A5"/>
    <w:rsid w:val="00CB3DC4"/>
    <w:rsid w:val="00CB3EAC"/>
    <w:rsid w:val="00CC2BA7"/>
    <w:rsid w:val="00CC576C"/>
    <w:rsid w:val="00CD0E70"/>
    <w:rsid w:val="00CD5E2A"/>
    <w:rsid w:val="00CD79F8"/>
    <w:rsid w:val="00CE07B7"/>
    <w:rsid w:val="00CE0FBE"/>
    <w:rsid w:val="00CE337C"/>
    <w:rsid w:val="00CE74BD"/>
    <w:rsid w:val="00CE76B8"/>
    <w:rsid w:val="00CF4C82"/>
    <w:rsid w:val="00CF5CB3"/>
    <w:rsid w:val="00D02266"/>
    <w:rsid w:val="00D04256"/>
    <w:rsid w:val="00D1603C"/>
    <w:rsid w:val="00D17866"/>
    <w:rsid w:val="00D243F8"/>
    <w:rsid w:val="00D25EF9"/>
    <w:rsid w:val="00D267D5"/>
    <w:rsid w:val="00D27848"/>
    <w:rsid w:val="00D311FF"/>
    <w:rsid w:val="00D32E5D"/>
    <w:rsid w:val="00D36338"/>
    <w:rsid w:val="00D40F1F"/>
    <w:rsid w:val="00D41E8F"/>
    <w:rsid w:val="00D44470"/>
    <w:rsid w:val="00D47CA4"/>
    <w:rsid w:val="00D47F84"/>
    <w:rsid w:val="00D5227C"/>
    <w:rsid w:val="00D525B9"/>
    <w:rsid w:val="00D52DE9"/>
    <w:rsid w:val="00D540C7"/>
    <w:rsid w:val="00D5479C"/>
    <w:rsid w:val="00D56D20"/>
    <w:rsid w:val="00D571C8"/>
    <w:rsid w:val="00D649DD"/>
    <w:rsid w:val="00D66833"/>
    <w:rsid w:val="00D66899"/>
    <w:rsid w:val="00D66D16"/>
    <w:rsid w:val="00D730B2"/>
    <w:rsid w:val="00D75F2E"/>
    <w:rsid w:val="00D77B8F"/>
    <w:rsid w:val="00D800E5"/>
    <w:rsid w:val="00D819E3"/>
    <w:rsid w:val="00D82D27"/>
    <w:rsid w:val="00D97E42"/>
    <w:rsid w:val="00DA07C6"/>
    <w:rsid w:val="00DA1092"/>
    <w:rsid w:val="00DA4BF7"/>
    <w:rsid w:val="00DA50FB"/>
    <w:rsid w:val="00DA79BD"/>
    <w:rsid w:val="00DB225C"/>
    <w:rsid w:val="00DB4C45"/>
    <w:rsid w:val="00DB5429"/>
    <w:rsid w:val="00DC0918"/>
    <w:rsid w:val="00DC19D7"/>
    <w:rsid w:val="00DC7DBC"/>
    <w:rsid w:val="00DD05D6"/>
    <w:rsid w:val="00DD1C12"/>
    <w:rsid w:val="00DD6DAE"/>
    <w:rsid w:val="00DD7301"/>
    <w:rsid w:val="00DE042E"/>
    <w:rsid w:val="00DE1BC0"/>
    <w:rsid w:val="00DE246B"/>
    <w:rsid w:val="00DE447C"/>
    <w:rsid w:val="00DF1032"/>
    <w:rsid w:val="00DF1801"/>
    <w:rsid w:val="00DF3898"/>
    <w:rsid w:val="00DF563C"/>
    <w:rsid w:val="00DF6AD0"/>
    <w:rsid w:val="00DF7310"/>
    <w:rsid w:val="00E00D37"/>
    <w:rsid w:val="00E07FF9"/>
    <w:rsid w:val="00E10AA5"/>
    <w:rsid w:val="00E13B72"/>
    <w:rsid w:val="00E15EE1"/>
    <w:rsid w:val="00E178B4"/>
    <w:rsid w:val="00E2049A"/>
    <w:rsid w:val="00E21290"/>
    <w:rsid w:val="00E221F0"/>
    <w:rsid w:val="00E2266B"/>
    <w:rsid w:val="00E22720"/>
    <w:rsid w:val="00E23E04"/>
    <w:rsid w:val="00E30A3D"/>
    <w:rsid w:val="00E34D35"/>
    <w:rsid w:val="00E44E37"/>
    <w:rsid w:val="00E509AF"/>
    <w:rsid w:val="00E55B1C"/>
    <w:rsid w:val="00E574DF"/>
    <w:rsid w:val="00E61D65"/>
    <w:rsid w:val="00E638F7"/>
    <w:rsid w:val="00E64E39"/>
    <w:rsid w:val="00E66280"/>
    <w:rsid w:val="00E67FBE"/>
    <w:rsid w:val="00E71672"/>
    <w:rsid w:val="00E84E14"/>
    <w:rsid w:val="00E90023"/>
    <w:rsid w:val="00E93843"/>
    <w:rsid w:val="00E94492"/>
    <w:rsid w:val="00E94B89"/>
    <w:rsid w:val="00E952A5"/>
    <w:rsid w:val="00E95A7F"/>
    <w:rsid w:val="00EA07AF"/>
    <w:rsid w:val="00EA5859"/>
    <w:rsid w:val="00EB762B"/>
    <w:rsid w:val="00EC141C"/>
    <w:rsid w:val="00EC1464"/>
    <w:rsid w:val="00EC2A20"/>
    <w:rsid w:val="00ED0AFE"/>
    <w:rsid w:val="00EE264D"/>
    <w:rsid w:val="00EE6222"/>
    <w:rsid w:val="00EE7040"/>
    <w:rsid w:val="00EF0792"/>
    <w:rsid w:val="00EF2C98"/>
    <w:rsid w:val="00EF4512"/>
    <w:rsid w:val="00EF49C8"/>
    <w:rsid w:val="00EF4EE6"/>
    <w:rsid w:val="00EF51FE"/>
    <w:rsid w:val="00EF696D"/>
    <w:rsid w:val="00EF7F22"/>
    <w:rsid w:val="00F01476"/>
    <w:rsid w:val="00F034CC"/>
    <w:rsid w:val="00F039DE"/>
    <w:rsid w:val="00F102CA"/>
    <w:rsid w:val="00F14BCF"/>
    <w:rsid w:val="00F152F5"/>
    <w:rsid w:val="00F17716"/>
    <w:rsid w:val="00F21169"/>
    <w:rsid w:val="00F217AD"/>
    <w:rsid w:val="00F2334C"/>
    <w:rsid w:val="00F24C09"/>
    <w:rsid w:val="00F278F6"/>
    <w:rsid w:val="00F32677"/>
    <w:rsid w:val="00F33B80"/>
    <w:rsid w:val="00F43CCC"/>
    <w:rsid w:val="00F47422"/>
    <w:rsid w:val="00F51B37"/>
    <w:rsid w:val="00F53CF0"/>
    <w:rsid w:val="00F56F7D"/>
    <w:rsid w:val="00F65675"/>
    <w:rsid w:val="00F65BBF"/>
    <w:rsid w:val="00F668F1"/>
    <w:rsid w:val="00F74913"/>
    <w:rsid w:val="00F76A7A"/>
    <w:rsid w:val="00F84C52"/>
    <w:rsid w:val="00F952B5"/>
    <w:rsid w:val="00F965FB"/>
    <w:rsid w:val="00F96F50"/>
    <w:rsid w:val="00FA09FC"/>
    <w:rsid w:val="00FA3081"/>
    <w:rsid w:val="00FA3713"/>
    <w:rsid w:val="00FA3767"/>
    <w:rsid w:val="00FA66CC"/>
    <w:rsid w:val="00FB0B1E"/>
    <w:rsid w:val="00FB506E"/>
    <w:rsid w:val="00FB77BE"/>
    <w:rsid w:val="00FC43DD"/>
    <w:rsid w:val="00FD6DF3"/>
    <w:rsid w:val="00FE2601"/>
    <w:rsid w:val="00FE369A"/>
    <w:rsid w:val="00FE724E"/>
    <w:rsid w:val="00FE7612"/>
    <w:rsid w:val="00FF0ADB"/>
    <w:rsid w:val="00FF0D05"/>
    <w:rsid w:val="00FF1FFB"/>
    <w:rsid w:val="00FF695C"/>
    <w:rsid w:val="00FF6C05"/>
    <w:rsid w:val="00FF79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E042E03"/>
  <w15:docId w15:val="{93E439B8-7EA9-414B-A18C-A2CE9594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51545C"/>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3"/>
    <w:rsid w:val="0051545C"/>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1caption">
    <w:name w:val="Table 1 caption"/>
    <w:basedOn w:val="Normal"/>
    <w:link w:val="Table1captionChar"/>
    <w:qFormat/>
    <w:rsid w:val="00167FF3"/>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167FF3"/>
    <w:rPr>
      <w:rFonts w:ascii="Myriad Pro" w:eastAsiaTheme="minorEastAsia" w:hAnsi="Myriad Pro" w:cstheme="minorHAnsi"/>
      <w:b/>
      <w:sz w:val="18"/>
      <w:szCs w:val="18"/>
      <w:lang w:val="en-US" w:eastAsia="en-US" w:bidi="en-US"/>
    </w:rPr>
  </w:style>
  <w:style w:type="paragraph" w:styleId="FootnoteText">
    <w:name w:val="footnote text"/>
    <w:basedOn w:val="Normal"/>
    <w:link w:val="FootnoteTextChar"/>
    <w:semiHidden/>
    <w:rsid w:val="0029482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semiHidden/>
    <w:rsid w:val="00294826"/>
    <w:rPr>
      <w:rFonts w:ascii="Garamond" w:eastAsiaTheme="minorEastAsia" w:hAnsi="Garamond" w:cstheme="minorBidi"/>
      <w:sz w:val="22"/>
      <w:lang w:val="en-GB" w:eastAsia="en-US" w:bidi="en-US"/>
    </w:rPr>
  </w:style>
  <w:style w:type="character" w:customStyle="1" w:styleId="ListParagraphChar">
    <w:name w:val="List Paragraph Char"/>
    <w:basedOn w:val="DefaultParagraphFont"/>
    <w:link w:val="ListParagraph"/>
    <w:uiPriority w:val="34"/>
    <w:locked/>
    <w:rsid w:val="00A95D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F01476"/>
  </w:style>
  <w:style w:type="paragraph" w:customStyle="1" w:styleId="EndNoteBibliography">
    <w:name w:val="EndNote Bibliography"/>
    <w:basedOn w:val="Normal"/>
    <w:link w:val="EndNoteBibliographyChar"/>
    <w:rsid w:val="00667EC1"/>
    <w:pPr>
      <w:spacing w:after="160" w:line="240" w:lineRule="auto"/>
    </w:pPr>
    <w:rPr>
      <w:rFonts w:ascii="Calibri" w:hAnsi="Calibri"/>
      <w:noProof/>
      <w:lang w:val="en-US"/>
    </w:rPr>
  </w:style>
  <w:style w:type="character" w:customStyle="1" w:styleId="EndNoteBibliographyChar">
    <w:name w:val="EndNote Bibliography Char"/>
    <w:basedOn w:val="ListParagraphChar"/>
    <w:link w:val="EndNoteBibliography"/>
    <w:rsid w:val="00667EC1"/>
    <w:rPr>
      <w:rFonts w:ascii="Calibri" w:eastAsiaTheme="minorHAnsi" w:hAnsi="Calibri" w:cstheme="minorBidi"/>
      <w:noProof/>
      <w:sz w:val="22"/>
      <w:szCs w:val="22"/>
      <w:lang w:val="en-US" w:eastAsia="en-US"/>
    </w:rPr>
  </w:style>
  <w:style w:type="character" w:customStyle="1" w:styleId="UnresolvedMention1">
    <w:name w:val="Unresolved Mention1"/>
    <w:basedOn w:val="DefaultParagraphFont"/>
    <w:uiPriority w:val="99"/>
    <w:semiHidden/>
    <w:unhideWhenUsed/>
    <w:rsid w:val="003C4053"/>
    <w:rPr>
      <w:color w:val="605E5C"/>
      <w:shd w:val="clear" w:color="auto" w:fill="E1DFDD"/>
    </w:rPr>
  </w:style>
  <w:style w:type="character" w:customStyle="1" w:styleId="UnresolvedMention2">
    <w:name w:val="Unresolved Mention2"/>
    <w:basedOn w:val="DefaultParagraphFont"/>
    <w:uiPriority w:val="99"/>
    <w:semiHidden/>
    <w:unhideWhenUsed/>
    <w:rsid w:val="0000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hyperlink" Target="https://portal.apvma.gov.au/pubcris" TargetMode="External"/><Relationship Id="rId21" Type="http://schemas.openxmlformats.org/officeDocument/2006/relationships/header" Target="header3.xml"/><Relationship Id="rId34" Type="http://schemas.openxmlformats.org/officeDocument/2006/relationships/image" Target="media/image6.emf"/><Relationship Id="rId42" Type="http://schemas.openxmlformats.org/officeDocument/2006/relationships/hyperlink" Target="https://pubchem.ncbi.nlm.nih.gov/compound/Picloram" TargetMode="Externa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footer" Target="footer2.xml"/><Relationship Id="rId11" Type="http://schemas.openxmlformats.org/officeDocument/2006/relationships/image" Target="media/image1.png"/><Relationship Id="rId24" Type="http://schemas.openxmlformats.org/officeDocument/2006/relationships/hyperlink" Target="http://www.waterquality.gov.au/anz-guidelines" TargetMode="External"/><Relationship Id="rId32" Type="http://schemas.openxmlformats.org/officeDocument/2006/relationships/header" Target="header9.xml"/><Relationship Id="rId37" Type="http://schemas.openxmlformats.org/officeDocument/2006/relationships/hyperlink" Target="https://eatsafe.nzfsa.govt.nz/web/public/acvm-register" TargetMode="External"/><Relationship Id="rId40" Type="http://schemas.openxmlformats.org/officeDocument/2006/relationships/hyperlink" Target="https://apvma.gov.au/node/19351" TargetMode="External"/><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image" Target="media/image5.png"/><Relationship Id="rId28" Type="http://schemas.openxmlformats.org/officeDocument/2006/relationships/header" Target="header6.xml"/><Relationship Id="rId36" Type="http://schemas.openxmlformats.org/officeDocument/2006/relationships/image" Target="media/image8.emf"/><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hyperlink" Target="https://ecotox.ipmcenter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image" Target="media/image7.emf"/><Relationship Id="rId43" Type="http://schemas.openxmlformats.org/officeDocument/2006/relationships/hyperlink" Target="https://www.invasive.org/gist/products/handbook/methods-handbook.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eg"/><Relationship Id="rId25" Type="http://schemas.openxmlformats.org/officeDocument/2006/relationships/hyperlink" Target="https://www.waterquality.gov.au/anz-guidelines/guideline-values/default/water-quality-toxicants" TargetMode="External"/><Relationship Id="rId33" Type="http://schemas.openxmlformats.org/officeDocument/2006/relationships/footer" Target="footer3.xml"/><Relationship Id="rId38" Type="http://schemas.openxmlformats.org/officeDocument/2006/relationships/hyperlink" Target="http://apvma.gov.au" TargetMode="External"/><Relationship Id="rId46" Type="http://schemas.openxmlformats.org/officeDocument/2006/relationships/header" Target="header11.xml"/><Relationship Id="rId20" Type="http://schemas.openxmlformats.org/officeDocument/2006/relationships/footer" Target="footer1.xml"/><Relationship Id="rId41" Type="http://schemas.openxmlformats.org/officeDocument/2006/relationships/hyperlink" Target="https://efsa.onlinelibrary.wiley.com/doi/10.2903/j.efsa.2009.139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7E05D6" w:rsidP="00B7057B">
          <w:pPr>
            <w:pStyle w:val="B20CCC024575420DB346A2897E1BFAA1"/>
          </w:pPr>
          <w:r w:rsidRPr="00BE52A7">
            <w:rPr>
              <w:rStyle w:val="PlaceholderText"/>
            </w:rPr>
            <w:t>Click here to enter text.</w:t>
          </w:r>
        </w:p>
      </w:docPartBody>
    </w:docPart>
    <w:docPart>
      <w:docPartPr>
        <w:name w:val="D524006F25E6F947965B11806CFF4A5B"/>
        <w:category>
          <w:name w:val="General"/>
          <w:gallery w:val="placeholder"/>
        </w:category>
        <w:types>
          <w:type w:val="bbPlcHdr"/>
        </w:types>
        <w:behaviors>
          <w:behavior w:val="content"/>
        </w:behaviors>
        <w:guid w:val="{9FE0530A-25EE-6E47-A214-DB5B6E26F546}"/>
      </w:docPartPr>
      <w:docPartBody>
        <w:p w:rsidR="00215D79" w:rsidRDefault="007E05D6" w:rsidP="005C74C4">
          <w:pPr>
            <w:pStyle w:val="D524006F25E6F947965B11806CFF4A5B"/>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7B"/>
    <w:rsid w:val="00025A2B"/>
    <w:rsid w:val="00054FCF"/>
    <w:rsid w:val="00093BD6"/>
    <w:rsid w:val="00152E05"/>
    <w:rsid w:val="00177A5C"/>
    <w:rsid w:val="001D2CA4"/>
    <w:rsid w:val="00215D79"/>
    <w:rsid w:val="00293AE9"/>
    <w:rsid w:val="00295F90"/>
    <w:rsid w:val="002B38AE"/>
    <w:rsid w:val="003018E9"/>
    <w:rsid w:val="00344B1D"/>
    <w:rsid w:val="003611FF"/>
    <w:rsid w:val="003F02C4"/>
    <w:rsid w:val="004703FB"/>
    <w:rsid w:val="004F0255"/>
    <w:rsid w:val="005B7806"/>
    <w:rsid w:val="005C74C4"/>
    <w:rsid w:val="006D5D45"/>
    <w:rsid w:val="006E0D5C"/>
    <w:rsid w:val="006F5248"/>
    <w:rsid w:val="00704091"/>
    <w:rsid w:val="0073415B"/>
    <w:rsid w:val="00750303"/>
    <w:rsid w:val="007E05D6"/>
    <w:rsid w:val="007E1690"/>
    <w:rsid w:val="00874A43"/>
    <w:rsid w:val="008E5738"/>
    <w:rsid w:val="009B11C8"/>
    <w:rsid w:val="00AA77D0"/>
    <w:rsid w:val="00AC5478"/>
    <w:rsid w:val="00AE16F9"/>
    <w:rsid w:val="00B01D07"/>
    <w:rsid w:val="00B30AF8"/>
    <w:rsid w:val="00B7057B"/>
    <w:rsid w:val="00BF7E32"/>
    <w:rsid w:val="00C02D00"/>
    <w:rsid w:val="00C47D96"/>
    <w:rsid w:val="00C60E4D"/>
    <w:rsid w:val="00C8120F"/>
    <w:rsid w:val="00D37947"/>
    <w:rsid w:val="00DD5690"/>
    <w:rsid w:val="00E14E15"/>
    <w:rsid w:val="00EC7014"/>
    <w:rsid w:val="00EE4586"/>
    <w:rsid w:val="00EF5279"/>
    <w:rsid w:val="00F03AE2"/>
    <w:rsid w:val="00F93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4C4"/>
    <w:rPr>
      <w:color w:val="808080"/>
    </w:rPr>
  </w:style>
  <w:style w:type="paragraph" w:customStyle="1" w:styleId="B20CCC024575420DB346A2897E1BFAA1">
    <w:name w:val="B20CCC024575420DB346A2897E1BFAA1"/>
    <w:rsid w:val="00B7057B"/>
  </w:style>
  <w:style w:type="paragraph" w:customStyle="1" w:styleId="D524006F25E6F947965B11806CFF4A5B">
    <w:name w:val="D524006F25E6F947965B11806CFF4A5B"/>
    <w:rsid w:val="005C74C4"/>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2.xml><?xml version="1.0" encoding="utf-8"?>
<ds:datastoreItem xmlns:ds="http://schemas.openxmlformats.org/officeDocument/2006/customXml" ds:itemID="{A1D323EF-822C-4E4A-9DA5-304476EA7B2B}">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d869c146-c82e-4435-92e4-da91542262fd"/>
    <ds:schemaRef ds:uri="http://purl.org/dc/terms/"/>
    <ds:schemaRef ds:uri="81c01dc6-2c49-4730-b140-874c95cac377"/>
    <ds:schemaRef ds:uri="b98728ac-f998-415c-abee-6b046fb1441e"/>
  </ds:schemaRefs>
</ds:datastoreItem>
</file>

<file path=customXml/itemProps3.xml><?xml version="1.0" encoding="utf-8"?>
<ds:datastoreItem xmlns:ds="http://schemas.openxmlformats.org/officeDocument/2006/customXml" ds:itemID="{9B6F2927-2097-416F-93F8-B7B6516BC525}"/>
</file>

<file path=customXml/itemProps4.xml><?xml version="1.0" encoding="utf-8"?>
<ds:datastoreItem xmlns:ds="http://schemas.openxmlformats.org/officeDocument/2006/customXml" ds:itemID="{08274F42-FD77-1840-AEEA-FC8BA12A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6583</Words>
  <Characters>37524</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Picloram in freshwater - Technical brief - May 2023</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Picloram in freshwater - Technical brief - January 2024</dc:title>
  <dc:creator>Australian Government</dc:creator>
  <cp:lastModifiedBy>Durack, Bec</cp:lastModifiedBy>
  <cp:revision>2</cp:revision>
  <cp:lastPrinted>2024-01-08T06:51:00Z</cp:lastPrinted>
  <dcterms:created xsi:type="dcterms:W3CDTF">2024-01-08T23:59:00Z</dcterms:created>
  <dcterms:modified xsi:type="dcterms:W3CDTF">2024-01-08T23:59:00Z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