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3659" w14:textId="77777777" w:rsidR="00D1400D" w:rsidRPr="00D46117" w:rsidRDefault="00D1400D" w:rsidP="00D1400D">
      <w:pPr>
        <w:pStyle w:val="Heading1"/>
      </w:pPr>
      <w:r w:rsidRPr="00D46117">
        <w:t>Toxicant default guideline values for aquatic ecosystem protection</w:t>
      </w:r>
    </w:p>
    <w:p w14:paraId="524A81B3" w14:textId="638F99F4" w:rsidR="001C0D1C" w:rsidRPr="00D46117" w:rsidRDefault="00D46117" w:rsidP="004640C1">
      <w:pPr>
        <w:pStyle w:val="Subtitle"/>
      </w:pPr>
      <w:r w:rsidRPr="00D46117">
        <w:t>Simazine in marine water</w:t>
      </w:r>
    </w:p>
    <w:p w14:paraId="0F5E9269" w14:textId="54247ED7" w:rsidR="001C0D1C" w:rsidRPr="00D46117" w:rsidRDefault="004D52CE">
      <w:pPr>
        <w:pStyle w:val="Documenttype"/>
      </w:pPr>
      <w:r w:rsidRPr="00D46117">
        <w:t>Technical brief</w:t>
      </w:r>
    </w:p>
    <w:p w14:paraId="014CDA3B" w14:textId="012ABD00" w:rsidR="00D46117" w:rsidRPr="00A55DA1" w:rsidRDefault="00A55DA1">
      <w:pPr>
        <w:pStyle w:val="Publicationdate"/>
      </w:pPr>
      <w:r w:rsidRPr="00A55DA1">
        <w:t>February</w:t>
      </w:r>
      <w:r w:rsidR="00AB6BAE" w:rsidRPr="00A55DA1">
        <w:t xml:space="preserve"> </w:t>
      </w:r>
      <w:r w:rsidR="004F2FCD" w:rsidRPr="00A55DA1">
        <w:t>202</w:t>
      </w:r>
      <w:r w:rsidR="002408C4" w:rsidRPr="00A55DA1">
        <w:t>5</w:t>
      </w:r>
    </w:p>
    <w:p w14:paraId="00D4D9B8" w14:textId="77777777" w:rsidR="001C0D1C" w:rsidRPr="00FD6C22" w:rsidRDefault="00E55B1C">
      <w:pPr>
        <w:spacing w:after="0" w:line="240" w:lineRule="auto"/>
        <w:rPr>
          <w:noProof/>
          <w:highlight w:val="cyan"/>
          <w:lang w:eastAsia="en-AU"/>
        </w:rPr>
      </w:pPr>
      <w:r w:rsidRPr="00FD6C22">
        <w:rPr>
          <w:highlight w:val="cyan"/>
        </w:rPr>
        <w:br w:type="page"/>
      </w:r>
    </w:p>
    <w:p w14:paraId="00B1140E" w14:textId="770617EA" w:rsidR="001C0D1C" w:rsidRPr="00D46117" w:rsidRDefault="00E55B1C">
      <w:pPr>
        <w:rPr>
          <w:sz w:val="18"/>
          <w:szCs w:val="18"/>
        </w:rPr>
      </w:pPr>
      <w:r w:rsidRPr="00D46117">
        <w:rPr>
          <w:sz w:val="18"/>
          <w:szCs w:val="18"/>
        </w:rPr>
        <w:lastRenderedPageBreak/>
        <w:t xml:space="preserve">© Commonwealth of Australia </w:t>
      </w:r>
      <w:r w:rsidR="00B20651" w:rsidRPr="00D46117">
        <w:rPr>
          <w:sz w:val="18"/>
          <w:szCs w:val="18"/>
        </w:rPr>
        <w:t>202</w:t>
      </w:r>
      <w:r w:rsidR="002408C4">
        <w:rPr>
          <w:sz w:val="18"/>
          <w:szCs w:val="18"/>
        </w:rPr>
        <w:t>5</w:t>
      </w:r>
    </w:p>
    <w:p w14:paraId="245B1702" w14:textId="77777777" w:rsidR="001C0D1C" w:rsidRPr="00D46117" w:rsidRDefault="00E55B1C">
      <w:pPr>
        <w:spacing w:after="0"/>
        <w:rPr>
          <w:rFonts w:ascii="Calibri" w:hAnsi="Calibri"/>
          <w:b/>
          <w:sz w:val="18"/>
          <w:szCs w:val="18"/>
        </w:rPr>
      </w:pPr>
      <w:r w:rsidRPr="00D46117">
        <w:rPr>
          <w:rFonts w:ascii="Calibri" w:hAnsi="Calibri"/>
          <w:b/>
          <w:sz w:val="18"/>
          <w:szCs w:val="18"/>
        </w:rPr>
        <w:t>Ownership of intellectual property rights</w:t>
      </w:r>
    </w:p>
    <w:p w14:paraId="77789ED6" w14:textId="77777777" w:rsidR="004D52CE" w:rsidRPr="00D46117" w:rsidRDefault="004D52CE" w:rsidP="004D52CE">
      <w:pPr>
        <w:rPr>
          <w:sz w:val="18"/>
          <w:szCs w:val="18"/>
        </w:rPr>
      </w:pPr>
      <w:r w:rsidRPr="00D46117">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Pr="00D46117" w:rsidRDefault="00B151F6" w:rsidP="00B151F6">
      <w:pPr>
        <w:spacing w:after="0"/>
        <w:rPr>
          <w:rFonts w:ascii="Calibri" w:hAnsi="Calibri"/>
          <w:b/>
          <w:sz w:val="18"/>
          <w:szCs w:val="18"/>
        </w:rPr>
      </w:pPr>
      <w:r w:rsidRPr="00D46117">
        <w:rPr>
          <w:rFonts w:ascii="Calibri" w:hAnsi="Calibri"/>
          <w:b/>
          <w:sz w:val="18"/>
          <w:szCs w:val="18"/>
        </w:rPr>
        <w:t>Creative Commons licence</w:t>
      </w:r>
    </w:p>
    <w:p w14:paraId="65F8BA2A" w14:textId="77777777" w:rsidR="00B151F6" w:rsidRPr="00D46117" w:rsidRDefault="00B151F6" w:rsidP="00B151F6">
      <w:pPr>
        <w:rPr>
          <w:sz w:val="18"/>
          <w:szCs w:val="18"/>
        </w:rPr>
      </w:pPr>
      <w:r w:rsidRPr="00D46117">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Pr="00D46117" w:rsidRDefault="00B151F6" w:rsidP="00B151F6">
      <w:pPr>
        <w:rPr>
          <w:sz w:val="18"/>
          <w:szCs w:val="18"/>
        </w:rPr>
      </w:pPr>
      <w:r w:rsidRPr="00D46117">
        <w:rPr>
          <w:noProof/>
          <w:sz w:val="18"/>
          <w:szCs w:val="18"/>
          <w:lang w:eastAsia="en-AU"/>
        </w:rPr>
        <w:drawing>
          <wp:anchor distT="0" distB="0" distL="114300" distR="114300" simplePos="0" relativeHeight="251658240" behindDoc="0" locked="0" layoutInCell="1" allowOverlap="1" wp14:anchorId="3297F2F5" wp14:editId="0A506425">
            <wp:simplePos x="923925" y="240030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r w:rsidRPr="00D46117">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4" w:history="1">
        <w:r w:rsidRPr="00D46117">
          <w:rPr>
            <w:rStyle w:val="Hyperlink"/>
            <w:sz w:val="18"/>
            <w:szCs w:val="18"/>
          </w:rPr>
          <w:t>summary of the licence terms</w:t>
        </w:r>
      </w:hyperlink>
      <w:r w:rsidRPr="00D46117">
        <w:rPr>
          <w:sz w:val="18"/>
          <w:szCs w:val="18"/>
        </w:rPr>
        <w:t xml:space="preserve"> or the </w:t>
      </w:r>
      <w:hyperlink r:id="rId15" w:history="1">
        <w:r w:rsidRPr="00D46117">
          <w:rPr>
            <w:rStyle w:val="Hyperlink"/>
            <w:sz w:val="18"/>
            <w:szCs w:val="18"/>
          </w:rPr>
          <w:t>full licence terms</w:t>
        </w:r>
      </w:hyperlink>
      <w:r w:rsidRPr="00D46117">
        <w:rPr>
          <w:sz w:val="18"/>
          <w:szCs w:val="18"/>
        </w:rPr>
        <w:t>.</w:t>
      </w:r>
    </w:p>
    <w:p w14:paraId="44635A9C" w14:textId="3F6A6A24" w:rsidR="00B151F6" w:rsidRPr="00D46117" w:rsidRDefault="00B151F6" w:rsidP="00B151F6">
      <w:pPr>
        <w:rPr>
          <w:sz w:val="18"/>
          <w:szCs w:val="18"/>
        </w:rPr>
      </w:pPr>
      <w:r w:rsidRPr="00D46117">
        <w:rPr>
          <w:sz w:val="18"/>
          <w:szCs w:val="18"/>
        </w:rPr>
        <w:t xml:space="preserve">Inquiries about the licence and any use of this document should be emailed to </w:t>
      </w:r>
      <w:hyperlink r:id="rId16" w:history="1">
        <w:r w:rsidR="00DE47F1" w:rsidRPr="00D46117">
          <w:rPr>
            <w:rStyle w:val="Hyperlink"/>
            <w:sz w:val="18"/>
            <w:szCs w:val="18"/>
          </w:rPr>
          <w:t>copyright@dcceew.gov.au</w:t>
        </w:r>
      </w:hyperlink>
      <w:r w:rsidRPr="00D46117">
        <w:rPr>
          <w:sz w:val="18"/>
          <w:szCs w:val="18"/>
        </w:rPr>
        <w:t>.</w:t>
      </w:r>
    </w:p>
    <w:p w14:paraId="75C7B75A" w14:textId="77777777" w:rsidR="001C0D1C" w:rsidRPr="00D46117" w:rsidRDefault="00E55B1C">
      <w:pPr>
        <w:spacing w:after="0"/>
        <w:rPr>
          <w:rFonts w:ascii="Calibri" w:hAnsi="Calibri"/>
          <w:b/>
          <w:sz w:val="18"/>
          <w:szCs w:val="18"/>
        </w:rPr>
      </w:pPr>
      <w:r w:rsidRPr="00D46117">
        <w:rPr>
          <w:rFonts w:ascii="Calibri" w:hAnsi="Calibri"/>
          <w:b/>
          <w:sz w:val="18"/>
          <w:szCs w:val="18"/>
        </w:rPr>
        <w:t>Cataloguing data</w:t>
      </w:r>
    </w:p>
    <w:p w14:paraId="0375D770" w14:textId="39194DD9" w:rsidR="00B151F6" w:rsidRPr="00D46117" w:rsidRDefault="00E55B1C" w:rsidP="00B151F6">
      <w:pPr>
        <w:rPr>
          <w:sz w:val="18"/>
          <w:szCs w:val="18"/>
        </w:rPr>
      </w:pPr>
      <w:r w:rsidRPr="00D46117">
        <w:rPr>
          <w:sz w:val="18"/>
          <w:szCs w:val="18"/>
        </w:rPr>
        <w:t xml:space="preserve">This publication (and any material sourced from it) should be attributed as: </w:t>
      </w:r>
      <w:r w:rsidR="00343147" w:rsidRPr="00D46117">
        <w:rPr>
          <w:sz w:val="18"/>
          <w:szCs w:val="18"/>
        </w:rPr>
        <w:t>ANZG</w:t>
      </w:r>
      <w:r w:rsidRPr="00D46117">
        <w:rPr>
          <w:sz w:val="18"/>
          <w:szCs w:val="18"/>
        </w:rPr>
        <w:t xml:space="preserve"> </w:t>
      </w:r>
      <w:r w:rsidR="00B20651" w:rsidRPr="00D46117">
        <w:rPr>
          <w:sz w:val="18"/>
          <w:szCs w:val="18"/>
        </w:rPr>
        <w:t>202</w:t>
      </w:r>
      <w:r w:rsidR="002408C4">
        <w:rPr>
          <w:sz w:val="18"/>
          <w:szCs w:val="18"/>
        </w:rPr>
        <w:t>5</w:t>
      </w:r>
      <w:r w:rsidRPr="00D46117">
        <w:rPr>
          <w:sz w:val="18"/>
          <w:szCs w:val="18"/>
        </w:rPr>
        <w:t>,</w:t>
      </w:r>
      <w:r w:rsidR="00DF1801" w:rsidRPr="00D46117">
        <w:rPr>
          <w:sz w:val="18"/>
          <w:szCs w:val="18"/>
        </w:rPr>
        <w:t xml:space="preserve"> </w:t>
      </w:r>
      <w:r w:rsidR="00B151F6" w:rsidRPr="00D46117">
        <w:rPr>
          <w:i/>
          <w:sz w:val="18"/>
          <w:szCs w:val="18"/>
        </w:rPr>
        <w:t xml:space="preserve">Toxicant default guideline values for aquatic ecosystem protection: </w:t>
      </w:r>
      <w:r w:rsidR="00D46117" w:rsidRPr="00D46117">
        <w:rPr>
          <w:i/>
          <w:sz w:val="18"/>
          <w:szCs w:val="18"/>
        </w:rPr>
        <w:t>Simazine</w:t>
      </w:r>
      <w:r w:rsidR="00B150FB" w:rsidRPr="00D46117">
        <w:rPr>
          <w:i/>
          <w:sz w:val="18"/>
          <w:szCs w:val="18"/>
        </w:rPr>
        <w:t xml:space="preserve"> </w:t>
      </w:r>
      <w:r w:rsidR="00B87CBA" w:rsidRPr="00D46117">
        <w:rPr>
          <w:i/>
          <w:sz w:val="18"/>
          <w:szCs w:val="18"/>
        </w:rPr>
        <w:t>in marine wat</w:t>
      </w:r>
      <w:r w:rsidR="00B151F6" w:rsidRPr="00D46117">
        <w:rPr>
          <w:i/>
          <w:sz w:val="18"/>
          <w:szCs w:val="18"/>
        </w:rPr>
        <w:t xml:space="preserve">er. </w:t>
      </w:r>
      <w:r w:rsidR="00343147" w:rsidRPr="00D46117">
        <w:rPr>
          <w:sz w:val="18"/>
          <w:szCs w:val="18"/>
        </w:rPr>
        <w:t xml:space="preserve">Australian and New Zealand Guidelines for Fresh and Marine Water Quality. </w:t>
      </w:r>
      <w:r w:rsidR="00B151F6" w:rsidRPr="00D46117">
        <w:rPr>
          <w:sz w:val="18"/>
          <w:szCs w:val="18"/>
        </w:rPr>
        <w:t>CC BY 4.0. Australian and New Zealand Governments and Australian state and territory governments, Canberra, ACT, Australia.</w:t>
      </w:r>
    </w:p>
    <w:p w14:paraId="5AD69391" w14:textId="77777777" w:rsidR="00B151F6" w:rsidRPr="00D46117" w:rsidRDefault="00B151F6" w:rsidP="00B151F6">
      <w:pPr>
        <w:rPr>
          <w:sz w:val="18"/>
          <w:szCs w:val="18"/>
        </w:rPr>
      </w:pPr>
      <w:r w:rsidRPr="00D46117">
        <w:rPr>
          <w:sz w:val="18"/>
          <w:szCs w:val="18"/>
        </w:rPr>
        <w:t xml:space="preserve">This publication is available at </w:t>
      </w:r>
      <w:hyperlink r:id="rId17" w:history="1">
        <w:r w:rsidRPr="00D46117">
          <w:rPr>
            <w:rStyle w:val="Hyperlink"/>
            <w:sz w:val="18"/>
            <w:szCs w:val="18"/>
          </w:rPr>
          <w:t>waterquality.gov.au/anz-guidelines/guideline-values/default/water-quality-toxicants/toxicants</w:t>
        </w:r>
      </w:hyperlink>
      <w:r w:rsidRPr="00D46117">
        <w:rPr>
          <w:sz w:val="18"/>
          <w:szCs w:val="18"/>
        </w:rPr>
        <w:t>.</w:t>
      </w:r>
    </w:p>
    <w:p w14:paraId="3E95282B" w14:textId="77777777" w:rsidR="00824850" w:rsidRPr="00D46117" w:rsidRDefault="00824850" w:rsidP="00824850">
      <w:pPr>
        <w:spacing w:after="0"/>
        <w:rPr>
          <w:b/>
          <w:sz w:val="18"/>
          <w:szCs w:val="18"/>
        </w:rPr>
      </w:pPr>
      <w:r w:rsidRPr="00D46117">
        <w:rPr>
          <w:b/>
          <w:sz w:val="18"/>
          <w:szCs w:val="18"/>
        </w:rPr>
        <w:t>Contact</w:t>
      </w:r>
    </w:p>
    <w:p w14:paraId="66EB3F64" w14:textId="1A46CA10" w:rsidR="00824850" w:rsidRPr="00D46117" w:rsidRDefault="00E55B1C" w:rsidP="00824850">
      <w:pPr>
        <w:spacing w:after="0"/>
        <w:rPr>
          <w:b/>
          <w:sz w:val="18"/>
          <w:szCs w:val="18"/>
        </w:rPr>
      </w:pPr>
      <w:r w:rsidRPr="00D46117">
        <w:rPr>
          <w:sz w:val="18"/>
          <w:szCs w:val="18"/>
        </w:rPr>
        <w:t xml:space="preserve">Australian Government Department of </w:t>
      </w:r>
      <w:r w:rsidR="00814A4E" w:rsidRPr="00D46117">
        <w:rPr>
          <w:sz w:val="18"/>
          <w:szCs w:val="18"/>
        </w:rPr>
        <w:t>Climate Change, Energy, the Environment and Water</w:t>
      </w:r>
    </w:p>
    <w:p w14:paraId="2C59091B" w14:textId="69EBDF01" w:rsidR="001C0D1C" w:rsidRPr="00D46117" w:rsidRDefault="00E55B1C" w:rsidP="00824850">
      <w:pPr>
        <w:spacing w:after="0"/>
        <w:rPr>
          <w:b/>
          <w:sz w:val="18"/>
          <w:szCs w:val="18"/>
        </w:rPr>
      </w:pPr>
      <w:r w:rsidRPr="00D46117">
        <w:rPr>
          <w:sz w:val="18"/>
          <w:szCs w:val="18"/>
        </w:rPr>
        <w:t>GPO Box 858 Canberra ACT 2601</w:t>
      </w:r>
    </w:p>
    <w:p w14:paraId="6EBF1CEF" w14:textId="518DCF98" w:rsidR="001C0D1C" w:rsidRPr="00D46117" w:rsidRDefault="00DE47F1" w:rsidP="00824850">
      <w:pPr>
        <w:spacing w:after="0"/>
        <w:rPr>
          <w:sz w:val="18"/>
          <w:szCs w:val="18"/>
        </w:rPr>
      </w:pPr>
      <w:r w:rsidRPr="00D46117">
        <w:rPr>
          <w:sz w:val="18"/>
          <w:szCs w:val="18"/>
        </w:rPr>
        <w:t>General enquiries:</w:t>
      </w:r>
      <w:r w:rsidR="00E55B1C" w:rsidRPr="00D46117">
        <w:rPr>
          <w:sz w:val="18"/>
          <w:szCs w:val="18"/>
        </w:rPr>
        <w:t xml:space="preserve"> 1800 9</w:t>
      </w:r>
      <w:r w:rsidRPr="00D46117">
        <w:rPr>
          <w:sz w:val="18"/>
          <w:szCs w:val="18"/>
        </w:rPr>
        <w:t>20 528</w:t>
      </w:r>
    </w:p>
    <w:p w14:paraId="34C5EBA5" w14:textId="5571ACFE" w:rsidR="001C0D1C" w:rsidRPr="00D46117" w:rsidRDefault="00E55B1C" w:rsidP="003908AC">
      <w:pPr>
        <w:rPr>
          <w:sz w:val="18"/>
          <w:szCs w:val="18"/>
        </w:rPr>
      </w:pPr>
      <w:r w:rsidRPr="00D46117">
        <w:rPr>
          <w:sz w:val="18"/>
          <w:szCs w:val="18"/>
        </w:rPr>
        <w:t xml:space="preserve">Email </w:t>
      </w:r>
      <w:hyperlink r:id="rId18" w:history="1">
        <w:r w:rsidR="00DE47F1" w:rsidRPr="00D46117">
          <w:rPr>
            <w:rStyle w:val="Hyperlink"/>
            <w:sz w:val="18"/>
            <w:szCs w:val="18"/>
          </w:rPr>
          <w:t>waterquality@dcceew.gov.au</w:t>
        </w:r>
      </w:hyperlink>
    </w:p>
    <w:p w14:paraId="26653544" w14:textId="77777777" w:rsidR="00B151F6" w:rsidRPr="00D46117" w:rsidRDefault="00B151F6" w:rsidP="00B151F6">
      <w:pPr>
        <w:spacing w:after="0"/>
        <w:rPr>
          <w:rFonts w:ascii="Calibri" w:hAnsi="Calibri"/>
          <w:b/>
          <w:sz w:val="18"/>
          <w:szCs w:val="18"/>
        </w:rPr>
      </w:pPr>
      <w:r w:rsidRPr="00D46117">
        <w:rPr>
          <w:rFonts w:ascii="Calibri" w:hAnsi="Calibri"/>
          <w:b/>
          <w:sz w:val="18"/>
          <w:szCs w:val="18"/>
        </w:rPr>
        <w:t>Disclaimer</w:t>
      </w:r>
    </w:p>
    <w:p w14:paraId="13B94BB2" w14:textId="77777777" w:rsidR="00B151F6" w:rsidRPr="00D46117" w:rsidRDefault="00B151F6" w:rsidP="00B20651">
      <w:pPr>
        <w:rPr>
          <w:sz w:val="18"/>
          <w:szCs w:val="18"/>
        </w:rPr>
      </w:pPr>
      <w:r w:rsidRPr="00D46117">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584FCC" w14:textId="77777777" w:rsidR="00B151F6" w:rsidRPr="00D46117" w:rsidRDefault="00B151F6" w:rsidP="00B151F6">
      <w:pPr>
        <w:spacing w:after="0"/>
        <w:rPr>
          <w:rFonts w:ascii="Calibri" w:hAnsi="Calibri"/>
          <w:b/>
          <w:sz w:val="18"/>
          <w:szCs w:val="18"/>
        </w:rPr>
      </w:pPr>
      <w:r w:rsidRPr="00D46117">
        <w:rPr>
          <w:rFonts w:ascii="Calibri" w:hAnsi="Calibri"/>
          <w:b/>
          <w:sz w:val="18"/>
          <w:szCs w:val="18"/>
        </w:rPr>
        <w:t>Acknowledgements</w:t>
      </w:r>
    </w:p>
    <w:p w14:paraId="366B6C03" w14:textId="49046015" w:rsidR="00D46117" w:rsidRDefault="00D46117">
      <w:pPr>
        <w:rPr>
          <w:sz w:val="18"/>
          <w:szCs w:val="18"/>
          <w:highlight w:val="cyan"/>
        </w:rPr>
      </w:pPr>
      <w:r w:rsidRPr="00D46117">
        <w:rPr>
          <w:sz w:val="18"/>
          <w:szCs w:val="18"/>
        </w:rPr>
        <w:t xml:space="preserve">The default guideline values </w:t>
      </w:r>
      <w:r w:rsidR="000F05FE">
        <w:rPr>
          <w:sz w:val="18"/>
          <w:szCs w:val="18"/>
        </w:rPr>
        <w:t xml:space="preserve">(DGVs) </w:t>
      </w:r>
      <w:r w:rsidRPr="00D46117">
        <w:rPr>
          <w:sz w:val="18"/>
          <w:szCs w:val="18"/>
        </w:rPr>
        <w:t>were derived by Olivia C King</w:t>
      </w:r>
      <w:r w:rsidR="00D20BED">
        <w:rPr>
          <w:sz w:val="18"/>
          <w:szCs w:val="18"/>
        </w:rPr>
        <w:t xml:space="preserve"> (NSW </w:t>
      </w:r>
      <w:r w:rsidR="00D20BED" w:rsidRPr="00400A1E">
        <w:rPr>
          <w:sz w:val="18"/>
          <w:szCs w:val="18"/>
        </w:rPr>
        <w:t>Department of Climate Change, Energy, the Environment and Water</w:t>
      </w:r>
      <w:r w:rsidR="00D20BED">
        <w:rPr>
          <w:sz w:val="18"/>
          <w:szCs w:val="18"/>
        </w:rPr>
        <w:t>),</w:t>
      </w:r>
      <w:r w:rsidRPr="00D46117">
        <w:rPr>
          <w:sz w:val="18"/>
          <w:szCs w:val="18"/>
        </w:rPr>
        <w:t xml:space="preserve"> Dr Rachael A Smith (Queensland Department of Environment</w:t>
      </w:r>
      <w:r w:rsidR="00D20BED">
        <w:rPr>
          <w:sz w:val="18"/>
          <w:szCs w:val="18"/>
        </w:rPr>
        <w:t>, Tourism,</w:t>
      </w:r>
      <w:r w:rsidRPr="00D46117">
        <w:rPr>
          <w:sz w:val="18"/>
          <w:szCs w:val="18"/>
        </w:rPr>
        <w:t xml:space="preserve"> Science</w:t>
      </w:r>
      <w:r w:rsidR="003C6156">
        <w:rPr>
          <w:sz w:val="18"/>
          <w:szCs w:val="18"/>
        </w:rPr>
        <w:t xml:space="preserve"> </w:t>
      </w:r>
      <w:r w:rsidR="00D20BED">
        <w:rPr>
          <w:sz w:val="18"/>
          <w:szCs w:val="18"/>
        </w:rPr>
        <w:t xml:space="preserve">and Innovation </w:t>
      </w:r>
      <w:r w:rsidR="003C6156">
        <w:rPr>
          <w:sz w:val="18"/>
          <w:szCs w:val="18"/>
        </w:rPr>
        <w:t>(DE</w:t>
      </w:r>
      <w:r w:rsidR="00D20BED">
        <w:rPr>
          <w:sz w:val="18"/>
          <w:szCs w:val="18"/>
        </w:rPr>
        <w:t>T</w:t>
      </w:r>
      <w:r w:rsidR="003C6156">
        <w:rPr>
          <w:sz w:val="18"/>
          <w:szCs w:val="18"/>
        </w:rPr>
        <w:t>S</w:t>
      </w:r>
      <w:r w:rsidR="00D20BED">
        <w:rPr>
          <w:sz w:val="18"/>
          <w:szCs w:val="18"/>
        </w:rPr>
        <w:t>I</w:t>
      </w:r>
      <w:r w:rsidR="003C6156">
        <w:rPr>
          <w:sz w:val="18"/>
          <w:szCs w:val="18"/>
        </w:rPr>
        <w:t>)</w:t>
      </w:r>
      <w:r w:rsidRPr="00D46117">
        <w:rPr>
          <w:sz w:val="18"/>
          <w:szCs w:val="18"/>
        </w:rPr>
        <w:t xml:space="preserve">), Gabrielle Dern (Griffith University) and Dr Michael St J Warne (University of Queensland). The DGVs were peer reviewed by two anonymous reviewers, </w:t>
      </w:r>
      <w:r w:rsidR="000F05FE">
        <w:rPr>
          <w:sz w:val="18"/>
          <w:szCs w:val="18"/>
        </w:rPr>
        <w:t xml:space="preserve">by </w:t>
      </w:r>
      <w:r w:rsidRPr="00D46117">
        <w:rPr>
          <w:sz w:val="18"/>
          <w:szCs w:val="18"/>
        </w:rPr>
        <w:t xml:space="preserve">Dr Reinier </w:t>
      </w:r>
      <w:r w:rsidR="00D20BED">
        <w:rPr>
          <w:sz w:val="18"/>
          <w:szCs w:val="18"/>
        </w:rPr>
        <w:t xml:space="preserve">M </w:t>
      </w:r>
      <w:r w:rsidRPr="00D46117">
        <w:rPr>
          <w:sz w:val="18"/>
          <w:szCs w:val="18"/>
        </w:rPr>
        <w:t>Mann (DE</w:t>
      </w:r>
      <w:r w:rsidR="00D20BED">
        <w:rPr>
          <w:sz w:val="18"/>
          <w:szCs w:val="18"/>
        </w:rPr>
        <w:t>T</w:t>
      </w:r>
      <w:r w:rsidRPr="00D46117">
        <w:rPr>
          <w:sz w:val="18"/>
          <w:szCs w:val="18"/>
        </w:rPr>
        <w:t>S</w:t>
      </w:r>
      <w:r w:rsidR="00D20BED">
        <w:rPr>
          <w:sz w:val="18"/>
          <w:szCs w:val="18"/>
        </w:rPr>
        <w:t>I</w:t>
      </w:r>
      <w:r w:rsidRPr="00D46117">
        <w:rPr>
          <w:sz w:val="18"/>
          <w:szCs w:val="18"/>
        </w:rPr>
        <w:t>) and by contracted technical advisor</w:t>
      </w:r>
      <w:r w:rsidR="00E96400">
        <w:rPr>
          <w:sz w:val="18"/>
          <w:szCs w:val="18"/>
        </w:rPr>
        <w:t>s</w:t>
      </w:r>
      <w:r w:rsidRPr="00D46117">
        <w:rPr>
          <w:sz w:val="18"/>
          <w:szCs w:val="18"/>
        </w:rPr>
        <w:t xml:space="preserve"> Dr</w:t>
      </w:r>
      <w:r w:rsidR="003908AC">
        <w:rPr>
          <w:sz w:val="18"/>
          <w:szCs w:val="18"/>
        </w:rPr>
        <w:t> </w:t>
      </w:r>
      <w:r w:rsidRPr="00D46117">
        <w:rPr>
          <w:sz w:val="18"/>
          <w:szCs w:val="18"/>
        </w:rPr>
        <w:t>Rick van Dam</w:t>
      </w:r>
      <w:r w:rsidR="00E96400">
        <w:rPr>
          <w:sz w:val="18"/>
          <w:szCs w:val="18"/>
        </w:rPr>
        <w:t xml:space="preserve"> and Dr Melanie Trenfield</w:t>
      </w:r>
      <w:r w:rsidRPr="00D46117">
        <w:rPr>
          <w:sz w:val="18"/>
          <w:szCs w:val="18"/>
        </w:rPr>
        <w:t>.</w:t>
      </w:r>
    </w:p>
    <w:p w14:paraId="3C934910" w14:textId="0D704395" w:rsidR="00400F53" w:rsidRDefault="00E55B1C" w:rsidP="003908AC">
      <w:pPr>
        <w:spacing w:after="0" w:line="240" w:lineRule="auto"/>
        <w:rPr>
          <w:sz w:val="18"/>
          <w:szCs w:val="18"/>
        </w:rPr>
      </w:pPr>
      <w:r w:rsidRPr="00E633CD">
        <w:rPr>
          <w:noProof/>
          <w:sz w:val="18"/>
          <w:szCs w:val="18"/>
          <w:lang w:eastAsia="en-AU"/>
        </w:rPr>
        <w:drawing>
          <wp:inline distT="0" distB="0" distL="0" distR="0" wp14:anchorId="21C06E27" wp14:editId="27C6DD54">
            <wp:extent cx="5756066" cy="1813560"/>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9">
                      <a:extLst>
                        <a:ext uri="{28A0092B-C50C-407E-A947-70E740481C1C}">
                          <a14:useLocalDpi xmlns:a14="http://schemas.microsoft.com/office/drawing/2010/main" val="0"/>
                        </a:ext>
                      </a:extLst>
                    </a:blip>
                    <a:srcRect t="17376" b="2822"/>
                    <a:stretch/>
                  </pic:blipFill>
                  <pic:spPr bwMode="auto">
                    <a:xfrm>
                      <a:off x="0" y="0"/>
                      <a:ext cx="5759450" cy="1814626"/>
                    </a:xfrm>
                    <a:prstGeom prst="rect">
                      <a:avLst/>
                    </a:prstGeom>
                    <a:ln>
                      <a:noFill/>
                    </a:ln>
                    <a:extLst>
                      <a:ext uri="{53640926-AAD7-44D8-BBD7-CCE9431645EC}">
                        <a14:shadowObscured xmlns:a14="http://schemas.microsoft.com/office/drawing/2010/main"/>
                      </a:ext>
                    </a:extLst>
                  </pic:spPr>
                </pic:pic>
              </a:graphicData>
            </a:graphic>
          </wp:inline>
        </w:drawing>
      </w:r>
      <w:r w:rsidR="00400F53">
        <w:rPr>
          <w:sz w:val="18"/>
          <w:szCs w:val="18"/>
        </w:rPr>
        <w:br w:type="page"/>
      </w:r>
    </w:p>
    <w:p w14:paraId="4A316D6E" w14:textId="77777777" w:rsidR="001C0D1C" w:rsidRPr="00E633CD" w:rsidRDefault="00E55B1C">
      <w:pPr>
        <w:pStyle w:val="TOCHeading"/>
      </w:pPr>
      <w:r w:rsidRPr="00E633CD">
        <w:lastRenderedPageBreak/>
        <w:t>Contents</w:t>
      </w:r>
    </w:p>
    <w:p w14:paraId="3C8DC4EF" w14:textId="77ACFC31" w:rsidR="006F60F6" w:rsidRDefault="00E55B1C">
      <w:pPr>
        <w:pStyle w:val="TOC1"/>
        <w:rPr>
          <w:rFonts w:eastAsiaTheme="minorEastAsia"/>
          <w:b w:val="0"/>
          <w:kern w:val="2"/>
          <w:sz w:val="24"/>
          <w:szCs w:val="24"/>
          <w:lang w:eastAsia="en-AU"/>
          <w14:ligatures w14:val="standardContextual"/>
        </w:rPr>
      </w:pPr>
      <w:r w:rsidRPr="00E633CD">
        <w:rPr>
          <w:bCs/>
          <w:szCs w:val="24"/>
        </w:rPr>
        <w:fldChar w:fldCharType="begin"/>
      </w:r>
      <w:r w:rsidRPr="00E633CD">
        <w:rPr>
          <w:bCs/>
          <w:szCs w:val="24"/>
        </w:rPr>
        <w:instrText xml:space="preserve"> TOC \t "Heading 2,1,Heading 3,2" </w:instrText>
      </w:r>
      <w:r w:rsidRPr="00E633CD">
        <w:rPr>
          <w:bCs/>
          <w:szCs w:val="24"/>
        </w:rPr>
        <w:fldChar w:fldCharType="separate"/>
      </w:r>
      <w:r w:rsidR="006F60F6">
        <w:t>Summary</w:t>
      </w:r>
      <w:r w:rsidR="006F60F6">
        <w:tab/>
      </w:r>
      <w:r w:rsidR="006F60F6">
        <w:fldChar w:fldCharType="begin"/>
      </w:r>
      <w:r w:rsidR="006F60F6">
        <w:instrText xml:space="preserve"> PAGEREF _Toc189412372 \h </w:instrText>
      </w:r>
      <w:r w:rsidR="006F60F6">
        <w:fldChar w:fldCharType="separate"/>
      </w:r>
      <w:r w:rsidR="00E74306">
        <w:t>v</w:t>
      </w:r>
      <w:r w:rsidR="006F60F6">
        <w:fldChar w:fldCharType="end"/>
      </w:r>
    </w:p>
    <w:p w14:paraId="25C8CE7B" w14:textId="25A6FFF9" w:rsidR="006F60F6" w:rsidRDefault="006F60F6">
      <w:pPr>
        <w:pStyle w:val="TOC1"/>
        <w:rPr>
          <w:rFonts w:eastAsiaTheme="minorEastAsia"/>
          <w:b w:val="0"/>
          <w:kern w:val="2"/>
          <w:sz w:val="24"/>
          <w:szCs w:val="24"/>
          <w:lang w:eastAsia="en-AU"/>
          <w14:ligatures w14:val="standardContextual"/>
        </w:rPr>
      </w:pPr>
      <w:r w:rsidRPr="00AE4C3A">
        <w:t>1</w:t>
      </w:r>
      <w:r>
        <w:rPr>
          <w:rFonts w:eastAsiaTheme="minorEastAsia"/>
          <w:b w:val="0"/>
          <w:kern w:val="2"/>
          <w:sz w:val="24"/>
          <w:szCs w:val="24"/>
          <w:lang w:eastAsia="en-AU"/>
          <w14:ligatures w14:val="standardContextual"/>
        </w:rPr>
        <w:tab/>
      </w:r>
      <w:r>
        <w:t>Introduction</w:t>
      </w:r>
      <w:r>
        <w:tab/>
      </w:r>
      <w:r>
        <w:fldChar w:fldCharType="begin"/>
      </w:r>
      <w:r>
        <w:instrText xml:space="preserve"> PAGEREF _Toc189412373 \h </w:instrText>
      </w:r>
      <w:r>
        <w:fldChar w:fldCharType="separate"/>
      </w:r>
      <w:r w:rsidR="00E74306">
        <w:t>1</w:t>
      </w:r>
      <w:r>
        <w:fldChar w:fldCharType="end"/>
      </w:r>
    </w:p>
    <w:p w14:paraId="23A60D5E" w14:textId="08B55C62" w:rsidR="006F60F6" w:rsidRDefault="006F60F6">
      <w:pPr>
        <w:pStyle w:val="TOC1"/>
        <w:rPr>
          <w:rFonts w:eastAsiaTheme="minorEastAsia"/>
          <w:b w:val="0"/>
          <w:kern w:val="2"/>
          <w:sz w:val="24"/>
          <w:szCs w:val="24"/>
          <w:lang w:eastAsia="en-AU"/>
          <w14:ligatures w14:val="standardContextual"/>
        </w:rPr>
      </w:pPr>
      <w:r w:rsidRPr="00AE4C3A">
        <w:t>2</w:t>
      </w:r>
      <w:r>
        <w:rPr>
          <w:rFonts w:eastAsiaTheme="minorEastAsia"/>
          <w:b w:val="0"/>
          <w:kern w:val="2"/>
          <w:sz w:val="24"/>
          <w:szCs w:val="24"/>
          <w:lang w:eastAsia="en-AU"/>
          <w14:ligatures w14:val="standardContextual"/>
        </w:rPr>
        <w:tab/>
      </w:r>
      <w:r>
        <w:t>Aquatic toxicology</w:t>
      </w:r>
      <w:r>
        <w:tab/>
      </w:r>
      <w:r>
        <w:fldChar w:fldCharType="begin"/>
      </w:r>
      <w:r>
        <w:instrText xml:space="preserve"> PAGEREF _Toc189412374 \h </w:instrText>
      </w:r>
      <w:r>
        <w:fldChar w:fldCharType="separate"/>
      </w:r>
      <w:r w:rsidR="00E74306">
        <w:t>2</w:t>
      </w:r>
      <w:r>
        <w:fldChar w:fldCharType="end"/>
      </w:r>
    </w:p>
    <w:p w14:paraId="345B89F8" w14:textId="624877FB" w:rsidR="006F60F6" w:rsidRDefault="006F60F6">
      <w:pPr>
        <w:pStyle w:val="TOC2"/>
        <w:tabs>
          <w:tab w:val="left" w:pos="960"/>
        </w:tabs>
        <w:rPr>
          <w:rFonts w:eastAsiaTheme="minorEastAsia"/>
          <w:kern w:val="2"/>
          <w:sz w:val="24"/>
          <w:szCs w:val="24"/>
          <w:lang w:eastAsia="en-AU"/>
          <w14:ligatures w14:val="standardContextual"/>
        </w:rPr>
      </w:pPr>
      <w:r>
        <w:t>2.1</w:t>
      </w:r>
      <w:r>
        <w:rPr>
          <w:rFonts w:eastAsiaTheme="minorEastAsia"/>
          <w:kern w:val="2"/>
          <w:sz w:val="24"/>
          <w:szCs w:val="24"/>
          <w:lang w:eastAsia="en-AU"/>
          <w14:ligatures w14:val="standardContextual"/>
        </w:rPr>
        <w:tab/>
      </w:r>
      <w:r>
        <w:t>Mechanism of toxicity</w:t>
      </w:r>
      <w:r>
        <w:tab/>
      </w:r>
      <w:r>
        <w:fldChar w:fldCharType="begin"/>
      </w:r>
      <w:r>
        <w:instrText xml:space="preserve"> PAGEREF _Toc189412375 \h </w:instrText>
      </w:r>
      <w:r>
        <w:fldChar w:fldCharType="separate"/>
      </w:r>
      <w:r w:rsidR="00E74306">
        <w:t>2</w:t>
      </w:r>
      <w:r>
        <w:fldChar w:fldCharType="end"/>
      </w:r>
    </w:p>
    <w:p w14:paraId="36C8B920" w14:textId="7179578F" w:rsidR="006F60F6" w:rsidRDefault="006F60F6">
      <w:pPr>
        <w:pStyle w:val="TOC2"/>
        <w:tabs>
          <w:tab w:val="left" w:pos="960"/>
        </w:tabs>
        <w:rPr>
          <w:rFonts w:eastAsiaTheme="minorEastAsia"/>
          <w:kern w:val="2"/>
          <w:sz w:val="24"/>
          <w:szCs w:val="24"/>
          <w:lang w:eastAsia="en-AU"/>
          <w14:ligatures w14:val="standardContextual"/>
        </w:rPr>
      </w:pPr>
      <w:r>
        <w:t>2.2</w:t>
      </w:r>
      <w:r>
        <w:rPr>
          <w:rFonts w:eastAsiaTheme="minorEastAsia"/>
          <w:kern w:val="2"/>
          <w:sz w:val="24"/>
          <w:szCs w:val="24"/>
          <w:lang w:eastAsia="en-AU"/>
          <w14:ligatures w14:val="standardContextual"/>
        </w:rPr>
        <w:tab/>
      </w:r>
      <w:r>
        <w:t>Relative toxicity</w:t>
      </w:r>
      <w:r>
        <w:tab/>
      </w:r>
      <w:r>
        <w:fldChar w:fldCharType="begin"/>
      </w:r>
      <w:r>
        <w:instrText xml:space="preserve"> PAGEREF _Toc189412376 \h </w:instrText>
      </w:r>
      <w:r>
        <w:fldChar w:fldCharType="separate"/>
      </w:r>
      <w:r w:rsidR="00E74306">
        <w:t>2</w:t>
      </w:r>
      <w:r>
        <w:fldChar w:fldCharType="end"/>
      </w:r>
    </w:p>
    <w:p w14:paraId="4D72C5C9" w14:textId="289CD806" w:rsidR="006F60F6" w:rsidRDefault="006F60F6">
      <w:pPr>
        <w:pStyle w:val="TOC1"/>
        <w:rPr>
          <w:rFonts w:eastAsiaTheme="minorEastAsia"/>
          <w:b w:val="0"/>
          <w:kern w:val="2"/>
          <w:sz w:val="24"/>
          <w:szCs w:val="24"/>
          <w:lang w:eastAsia="en-AU"/>
          <w14:ligatures w14:val="standardContextual"/>
        </w:rPr>
      </w:pPr>
      <w:r w:rsidRPr="00AE4C3A">
        <w:t>3</w:t>
      </w:r>
      <w:r>
        <w:rPr>
          <w:rFonts w:eastAsiaTheme="minorEastAsia"/>
          <w:b w:val="0"/>
          <w:kern w:val="2"/>
          <w:sz w:val="24"/>
          <w:szCs w:val="24"/>
          <w:lang w:eastAsia="en-AU"/>
          <w14:ligatures w14:val="standardContextual"/>
        </w:rPr>
        <w:tab/>
      </w:r>
      <w:r>
        <w:t>Factors affecting toxicity</w:t>
      </w:r>
      <w:r>
        <w:tab/>
      </w:r>
      <w:r>
        <w:fldChar w:fldCharType="begin"/>
      </w:r>
      <w:r>
        <w:instrText xml:space="preserve"> PAGEREF _Toc189412377 \h </w:instrText>
      </w:r>
      <w:r>
        <w:fldChar w:fldCharType="separate"/>
      </w:r>
      <w:r w:rsidR="00E74306">
        <w:t>3</w:t>
      </w:r>
      <w:r>
        <w:fldChar w:fldCharType="end"/>
      </w:r>
    </w:p>
    <w:p w14:paraId="471A7C99" w14:textId="4DF3A2F7" w:rsidR="006F60F6" w:rsidRDefault="006F60F6">
      <w:pPr>
        <w:pStyle w:val="TOC1"/>
        <w:rPr>
          <w:rFonts w:eastAsiaTheme="minorEastAsia"/>
          <w:b w:val="0"/>
          <w:kern w:val="2"/>
          <w:sz w:val="24"/>
          <w:szCs w:val="24"/>
          <w:lang w:eastAsia="en-AU"/>
          <w14:ligatures w14:val="standardContextual"/>
        </w:rPr>
      </w:pPr>
      <w:r w:rsidRPr="00AE4C3A">
        <w:t>4</w:t>
      </w:r>
      <w:r>
        <w:rPr>
          <w:rFonts w:eastAsiaTheme="minorEastAsia"/>
          <w:b w:val="0"/>
          <w:kern w:val="2"/>
          <w:sz w:val="24"/>
          <w:szCs w:val="24"/>
          <w:lang w:eastAsia="en-AU"/>
          <w14:ligatures w14:val="standardContextual"/>
        </w:rPr>
        <w:tab/>
      </w:r>
      <w:r>
        <w:t>Default guideline value derivation</w:t>
      </w:r>
      <w:r>
        <w:tab/>
      </w:r>
      <w:r>
        <w:fldChar w:fldCharType="begin"/>
      </w:r>
      <w:r>
        <w:instrText xml:space="preserve"> PAGEREF _Toc189412378 \h </w:instrText>
      </w:r>
      <w:r>
        <w:fldChar w:fldCharType="separate"/>
      </w:r>
      <w:r w:rsidR="00E74306">
        <w:t>4</w:t>
      </w:r>
      <w:r>
        <w:fldChar w:fldCharType="end"/>
      </w:r>
    </w:p>
    <w:p w14:paraId="5E2AC57C" w14:textId="54CF83C0" w:rsidR="006F60F6" w:rsidRDefault="006F60F6">
      <w:pPr>
        <w:pStyle w:val="TOC2"/>
        <w:tabs>
          <w:tab w:val="left" w:pos="960"/>
        </w:tabs>
        <w:rPr>
          <w:rFonts w:eastAsiaTheme="minorEastAsia"/>
          <w:kern w:val="2"/>
          <w:sz w:val="24"/>
          <w:szCs w:val="24"/>
          <w:lang w:eastAsia="en-AU"/>
          <w14:ligatures w14:val="standardContextual"/>
        </w:rPr>
      </w:pPr>
      <w:r>
        <w:t>4.1</w:t>
      </w:r>
      <w:r>
        <w:rPr>
          <w:rFonts w:eastAsiaTheme="minorEastAsia"/>
          <w:kern w:val="2"/>
          <w:sz w:val="24"/>
          <w:szCs w:val="24"/>
          <w:lang w:eastAsia="en-AU"/>
          <w14:ligatures w14:val="standardContextual"/>
        </w:rPr>
        <w:tab/>
      </w:r>
      <w:r>
        <w:t>Toxicity data used in derivation</w:t>
      </w:r>
      <w:r>
        <w:tab/>
      </w:r>
      <w:r>
        <w:fldChar w:fldCharType="begin"/>
      </w:r>
      <w:r>
        <w:instrText xml:space="preserve"> PAGEREF _Toc189412379 \h </w:instrText>
      </w:r>
      <w:r>
        <w:fldChar w:fldCharType="separate"/>
      </w:r>
      <w:r w:rsidR="00E74306">
        <w:t>4</w:t>
      </w:r>
      <w:r>
        <w:fldChar w:fldCharType="end"/>
      </w:r>
    </w:p>
    <w:p w14:paraId="29E6FFF6" w14:textId="32A00111" w:rsidR="006F60F6" w:rsidRDefault="006F60F6">
      <w:pPr>
        <w:pStyle w:val="TOC2"/>
        <w:tabs>
          <w:tab w:val="left" w:pos="960"/>
        </w:tabs>
        <w:rPr>
          <w:rFonts w:eastAsiaTheme="minorEastAsia"/>
          <w:kern w:val="2"/>
          <w:sz w:val="24"/>
          <w:szCs w:val="24"/>
          <w:lang w:eastAsia="en-AU"/>
          <w14:ligatures w14:val="standardContextual"/>
        </w:rPr>
      </w:pPr>
      <w:r>
        <w:t>4.2</w:t>
      </w:r>
      <w:r>
        <w:rPr>
          <w:rFonts w:eastAsiaTheme="minorEastAsia"/>
          <w:kern w:val="2"/>
          <w:sz w:val="24"/>
          <w:szCs w:val="24"/>
          <w:lang w:eastAsia="en-AU"/>
          <w14:ligatures w14:val="standardContextual"/>
        </w:rPr>
        <w:tab/>
      </w:r>
      <w:r>
        <w:t>Species sensitivity distribution</w:t>
      </w:r>
      <w:r>
        <w:tab/>
      </w:r>
      <w:r>
        <w:fldChar w:fldCharType="begin"/>
      </w:r>
      <w:r>
        <w:instrText xml:space="preserve"> PAGEREF _Toc189412380 \h </w:instrText>
      </w:r>
      <w:r>
        <w:fldChar w:fldCharType="separate"/>
      </w:r>
      <w:r w:rsidR="00E74306">
        <w:t>7</w:t>
      </w:r>
      <w:r>
        <w:fldChar w:fldCharType="end"/>
      </w:r>
    </w:p>
    <w:p w14:paraId="1DF65902" w14:textId="55A63EF7" w:rsidR="006F60F6" w:rsidRDefault="006F60F6">
      <w:pPr>
        <w:pStyle w:val="TOC2"/>
        <w:tabs>
          <w:tab w:val="left" w:pos="960"/>
        </w:tabs>
        <w:rPr>
          <w:rFonts w:eastAsiaTheme="minorEastAsia"/>
          <w:kern w:val="2"/>
          <w:sz w:val="24"/>
          <w:szCs w:val="24"/>
          <w:lang w:eastAsia="en-AU"/>
          <w14:ligatures w14:val="standardContextual"/>
        </w:rPr>
      </w:pPr>
      <w:r>
        <w:t>4.3</w:t>
      </w:r>
      <w:r>
        <w:rPr>
          <w:rFonts w:eastAsiaTheme="minorEastAsia"/>
          <w:kern w:val="2"/>
          <w:sz w:val="24"/>
          <w:szCs w:val="24"/>
          <w:lang w:eastAsia="en-AU"/>
          <w14:ligatures w14:val="standardContextual"/>
        </w:rPr>
        <w:tab/>
      </w:r>
      <w:r>
        <w:t>Default guideline values</w:t>
      </w:r>
      <w:r>
        <w:tab/>
      </w:r>
      <w:r>
        <w:fldChar w:fldCharType="begin"/>
      </w:r>
      <w:r>
        <w:instrText xml:space="preserve"> PAGEREF _Toc189412381 \h </w:instrText>
      </w:r>
      <w:r>
        <w:fldChar w:fldCharType="separate"/>
      </w:r>
      <w:r w:rsidR="00E74306">
        <w:t>7</w:t>
      </w:r>
      <w:r>
        <w:fldChar w:fldCharType="end"/>
      </w:r>
    </w:p>
    <w:p w14:paraId="0EC17700" w14:textId="20074D77" w:rsidR="006F60F6" w:rsidRDefault="006F60F6">
      <w:pPr>
        <w:pStyle w:val="TOC2"/>
        <w:tabs>
          <w:tab w:val="left" w:pos="960"/>
        </w:tabs>
        <w:rPr>
          <w:rFonts w:eastAsiaTheme="minorEastAsia"/>
          <w:kern w:val="2"/>
          <w:sz w:val="24"/>
          <w:szCs w:val="24"/>
          <w:lang w:eastAsia="en-AU"/>
          <w14:ligatures w14:val="standardContextual"/>
        </w:rPr>
      </w:pPr>
      <w:r>
        <w:t>4.4</w:t>
      </w:r>
      <w:r>
        <w:rPr>
          <w:rFonts w:eastAsiaTheme="minorEastAsia"/>
          <w:kern w:val="2"/>
          <w:sz w:val="24"/>
          <w:szCs w:val="24"/>
          <w:lang w:eastAsia="en-AU"/>
          <w14:ligatures w14:val="standardContextual"/>
        </w:rPr>
        <w:tab/>
      </w:r>
      <w:r>
        <w:t>Reliability classification</w:t>
      </w:r>
      <w:r>
        <w:tab/>
      </w:r>
      <w:r>
        <w:fldChar w:fldCharType="begin"/>
      </w:r>
      <w:r>
        <w:instrText xml:space="preserve"> PAGEREF _Toc189412382 \h </w:instrText>
      </w:r>
      <w:r>
        <w:fldChar w:fldCharType="separate"/>
      </w:r>
      <w:r w:rsidR="00E74306">
        <w:t>8</w:t>
      </w:r>
      <w:r>
        <w:fldChar w:fldCharType="end"/>
      </w:r>
    </w:p>
    <w:p w14:paraId="2EFEE33D" w14:textId="7A9C2791" w:rsidR="006F60F6" w:rsidRDefault="006F60F6">
      <w:pPr>
        <w:pStyle w:val="TOC1"/>
        <w:rPr>
          <w:rFonts w:eastAsiaTheme="minorEastAsia"/>
          <w:b w:val="0"/>
          <w:kern w:val="2"/>
          <w:sz w:val="24"/>
          <w:szCs w:val="24"/>
          <w:lang w:eastAsia="en-AU"/>
          <w14:ligatures w14:val="standardContextual"/>
        </w:rPr>
      </w:pPr>
      <w:r>
        <w:t>Glossary</w:t>
      </w:r>
      <w:r>
        <w:tab/>
      </w:r>
      <w:r>
        <w:fldChar w:fldCharType="begin"/>
      </w:r>
      <w:r>
        <w:instrText xml:space="preserve"> PAGEREF _Toc189412383 \h </w:instrText>
      </w:r>
      <w:r>
        <w:fldChar w:fldCharType="separate"/>
      </w:r>
      <w:r w:rsidR="00E74306">
        <w:t>9</w:t>
      </w:r>
      <w:r>
        <w:fldChar w:fldCharType="end"/>
      </w:r>
    </w:p>
    <w:p w14:paraId="03606365" w14:textId="467FC708" w:rsidR="006F60F6" w:rsidRDefault="006F60F6">
      <w:pPr>
        <w:pStyle w:val="TOC1"/>
        <w:rPr>
          <w:rFonts w:eastAsiaTheme="minorEastAsia"/>
          <w:b w:val="0"/>
          <w:kern w:val="2"/>
          <w:sz w:val="24"/>
          <w:szCs w:val="24"/>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_Toc189412384 \h </w:instrText>
      </w:r>
      <w:r>
        <w:fldChar w:fldCharType="separate"/>
      </w:r>
      <w:r w:rsidR="00E74306">
        <w:t>11</w:t>
      </w:r>
      <w:r>
        <w:fldChar w:fldCharType="end"/>
      </w:r>
    </w:p>
    <w:p w14:paraId="23D1D111" w14:textId="2F0AA365" w:rsidR="006F60F6" w:rsidRDefault="006F60F6">
      <w:pPr>
        <w:pStyle w:val="TOC1"/>
        <w:rPr>
          <w:rFonts w:eastAsiaTheme="minorEastAsia"/>
          <w:b w:val="0"/>
          <w:kern w:val="2"/>
          <w:sz w:val="24"/>
          <w:szCs w:val="24"/>
          <w:lang w:eastAsia="en-AU"/>
          <w14:ligatures w14:val="standardContextual"/>
        </w:rPr>
      </w:pPr>
      <w:r>
        <w:t>Appendix B: Modality assessment for simazine toxicity to aquatic species</w:t>
      </w:r>
      <w:r>
        <w:tab/>
      </w:r>
      <w:r>
        <w:fldChar w:fldCharType="begin"/>
      </w:r>
      <w:r>
        <w:instrText xml:space="preserve"> PAGEREF _Toc189412385 \h </w:instrText>
      </w:r>
      <w:r>
        <w:fldChar w:fldCharType="separate"/>
      </w:r>
      <w:r w:rsidR="00E74306">
        <w:t>14</w:t>
      </w:r>
      <w:r>
        <w:fldChar w:fldCharType="end"/>
      </w:r>
    </w:p>
    <w:p w14:paraId="434E3591" w14:textId="013127EC" w:rsidR="006F60F6" w:rsidRDefault="006F60F6">
      <w:pPr>
        <w:pStyle w:val="TOC1"/>
        <w:rPr>
          <w:rFonts w:eastAsiaTheme="minorEastAsia"/>
          <w:b w:val="0"/>
          <w:kern w:val="2"/>
          <w:sz w:val="24"/>
          <w:szCs w:val="24"/>
          <w:lang w:eastAsia="en-AU"/>
          <w14:ligatures w14:val="standardContextual"/>
        </w:rPr>
      </w:pPr>
      <w:r>
        <w:t>Appendix C: Explanation of the dataset used to derive the DGVs</w:t>
      </w:r>
      <w:r>
        <w:tab/>
      </w:r>
      <w:r>
        <w:fldChar w:fldCharType="begin"/>
      </w:r>
      <w:r>
        <w:instrText xml:space="preserve"> PAGEREF _Toc189412386 \h </w:instrText>
      </w:r>
      <w:r>
        <w:fldChar w:fldCharType="separate"/>
      </w:r>
      <w:r w:rsidR="00E74306">
        <w:t>17</w:t>
      </w:r>
      <w:r>
        <w:fldChar w:fldCharType="end"/>
      </w:r>
    </w:p>
    <w:p w14:paraId="2A69E4F4" w14:textId="6D79F78F" w:rsidR="006F60F6" w:rsidRDefault="006F60F6">
      <w:pPr>
        <w:pStyle w:val="TOC1"/>
        <w:rPr>
          <w:rFonts w:eastAsiaTheme="minorEastAsia"/>
          <w:b w:val="0"/>
          <w:kern w:val="2"/>
          <w:sz w:val="24"/>
          <w:szCs w:val="24"/>
          <w:lang w:eastAsia="en-AU"/>
          <w14:ligatures w14:val="standardContextual"/>
        </w:rPr>
      </w:pPr>
      <w:r>
        <w:t>References</w:t>
      </w:r>
      <w:r>
        <w:tab/>
      </w:r>
      <w:r>
        <w:fldChar w:fldCharType="begin"/>
      </w:r>
      <w:r>
        <w:instrText xml:space="preserve"> PAGEREF _Toc189412387 \h </w:instrText>
      </w:r>
      <w:r>
        <w:fldChar w:fldCharType="separate"/>
      </w:r>
      <w:r w:rsidR="00E74306">
        <w:t>19</w:t>
      </w:r>
      <w:r>
        <w:fldChar w:fldCharType="end"/>
      </w:r>
    </w:p>
    <w:p w14:paraId="11B0DAB9" w14:textId="3B811FFC" w:rsidR="001C0D1C" w:rsidRPr="00E633CD" w:rsidRDefault="00E55B1C">
      <w:pPr>
        <w:pStyle w:val="TOCHeading2"/>
      </w:pPr>
      <w:r w:rsidRPr="00E633CD">
        <w:rPr>
          <w:rFonts w:asciiTheme="minorHAnsi" w:eastAsiaTheme="minorHAnsi" w:hAnsiTheme="minorHAnsi" w:cstheme="minorBidi"/>
          <w:noProof/>
          <w:color w:val="auto"/>
          <w:sz w:val="22"/>
          <w:szCs w:val="24"/>
          <w:lang w:val="en-AU"/>
        </w:rPr>
        <w:fldChar w:fldCharType="end"/>
      </w:r>
      <w:r w:rsidRPr="00E633CD">
        <w:t>Figures</w:t>
      </w:r>
    </w:p>
    <w:p w14:paraId="0D40B29A" w14:textId="1DD85224" w:rsidR="006F60F6" w:rsidRDefault="00E55B1C">
      <w:pPr>
        <w:pStyle w:val="TableofFigures"/>
        <w:tabs>
          <w:tab w:val="right" w:leader="dot" w:pos="9060"/>
        </w:tabs>
        <w:rPr>
          <w:rFonts w:eastAsiaTheme="minorEastAsia"/>
          <w:noProof/>
          <w:kern w:val="2"/>
          <w:sz w:val="24"/>
          <w:szCs w:val="24"/>
          <w:lang w:eastAsia="en-AU"/>
          <w14:ligatures w14:val="standardContextual"/>
        </w:rPr>
      </w:pPr>
      <w:r w:rsidRPr="00E633CD">
        <w:fldChar w:fldCharType="begin"/>
      </w:r>
      <w:r w:rsidRPr="00E633CD">
        <w:instrText xml:space="preserve"> TOC \c "Figure" </w:instrText>
      </w:r>
      <w:r w:rsidRPr="00E633CD">
        <w:fldChar w:fldCharType="separate"/>
      </w:r>
      <w:r w:rsidR="006F60F6">
        <w:rPr>
          <w:noProof/>
        </w:rPr>
        <w:t>Figure 1 Structure of simazine</w:t>
      </w:r>
      <w:r w:rsidR="006F60F6">
        <w:rPr>
          <w:noProof/>
        </w:rPr>
        <w:tab/>
      </w:r>
      <w:r w:rsidR="006F60F6">
        <w:rPr>
          <w:noProof/>
        </w:rPr>
        <w:fldChar w:fldCharType="begin"/>
      </w:r>
      <w:r w:rsidR="006F60F6">
        <w:rPr>
          <w:noProof/>
        </w:rPr>
        <w:instrText xml:space="preserve"> PAGEREF _Toc189412388 \h </w:instrText>
      </w:r>
      <w:r w:rsidR="006F60F6">
        <w:rPr>
          <w:noProof/>
        </w:rPr>
      </w:r>
      <w:r w:rsidR="006F60F6">
        <w:rPr>
          <w:noProof/>
        </w:rPr>
        <w:fldChar w:fldCharType="separate"/>
      </w:r>
      <w:r w:rsidR="00E74306">
        <w:rPr>
          <w:noProof/>
        </w:rPr>
        <w:t>1</w:t>
      </w:r>
      <w:r w:rsidR="006F60F6">
        <w:rPr>
          <w:noProof/>
        </w:rPr>
        <w:fldChar w:fldCharType="end"/>
      </w:r>
    </w:p>
    <w:p w14:paraId="06107732" w14:textId="72FD43DD" w:rsidR="006F60F6" w:rsidRDefault="006F60F6">
      <w:pPr>
        <w:pStyle w:val="TableofFigures"/>
        <w:tabs>
          <w:tab w:val="right" w:leader="dot" w:pos="9060"/>
        </w:tabs>
        <w:rPr>
          <w:rFonts w:eastAsiaTheme="minorEastAsia"/>
          <w:noProof/>
          <w:kern w:val="2"/>
          <w:sz w:val="24"/>
          <w:szCs w:val="24"/>
          <w:lang w:eastAsia="en-AU"/>
          <w14:ligatures w14:val="standardContextual"/>
        </w:rPr>
      </w:pPr>
      <w:r>
        <w:rPr>
          <w:noProof/>
        </w:rPr>
        <w:t>Figure 2 Species sensitivity distribution, simazine in marine water</w:t>
      </w:r>
      <w:r>
        <w:rPr>
          <w:noProof/>
        </w:rPr>
        <w:tab/>
      </w:r>
      <w:r>
        <w:rPr>
          <w:noProof/>
        </w:rPr>
        <w:fldChar w:fldCharType="begin"/>
      </w:r>
      <w:r>
        <w:rPr>
          <w:noProof/>
        </w:rPr>
        <w:instrText xml:space="preserve"> PAGEREF _Toc189412389 \h </w:instrText>
      </w:r>
      <w:r>
        <w:rPr>
          <w:noProof/>
        </w:rPr>
      </w:r>
      <w:r>
        <w:rPr>
          <w:noProof/>
        </w:rPr>
        <w:fldChar w:fldCharType="separate"/>
      </w:r>
      <w:r w:rsidR="00E74306">
        <w:rPr>
          <w:noProof/>
        </w:rPr>
        <w:t>7</w:t>
      </w:r>
      <w:r>
        <w:rPr>
          <w:noProof/>
        </w:rPr>
        <w:fldChar w:fldCharType="end"/>
      </w:r>
    </w:p>
    <w:p w14:paraId="17A22399" w14:textId="40B97AF1" w:rsidR="001C0D1C" w:rsidRPr="00E633CD" w:rsidRDefault="00E55B1C">
      <w:pPr>
        <w:pStyle w:val="TOCHeading2"/>
      </w:pPr>
      <w:r w:rsidRPr="00E633CD">
        <w:rPr>
          <w:rFonts w:ascii="Cambria" w:hAnsi="Cambria"/>
          <w:color w:val="auto"/>
          <w:sz w:val="22"/>
          <w:szCs w:val="24"/>
        </w:rPr>
        <w:fldChar w:fldCharType="end"/>
      </w:r>
      <w:r w:rsidRPr="00E633CD">
        <w:t>Tables</w:t>
      </w:r>
    </w:p>
    <w:p w14:paraId="0E51AEEE" w14:textId="14D2E081" w:rsidR="006F60F6" w:rsidRDefault="00E55B1C">
      <w:pPr>
        <w:pStyle w:val="TableofFigures"/>
        <w:tabs>
          <w:tab w:val="right" w:leader="dot" w:pos="9060"/>
        </w:tabs>
        <w:rPr>
          <w:rFonts w:eastAsiaTheme="minorEastAsia"/>
          <w:noProof/>
          <w:kern w:val="2"/>
          <w:sz w:val="24"/>
          <w:szCs w:val="24"/>
          <w:lang w:eastAsia="en-AU"/>
          <w14:ligatures w14:val="standardContextual"/>
        </w:rPr>
      </w:pPr>
      <w:r w:rsidRPr="00E633CD">
        <w:rPr>
          <w:bCs/>
          <w:szCs w:val="24"/>
        </w:rPr>
        <w:fldChar w:fldCharType="begin"/>
      </w:r>
      <w:r w:rsidRPr="00E633CD">
        <w:rPr>
          <w:bCs/>
        </w:rPr>
        <w:instrText xml:space="preserve"> TOC \c "Table" </w:instrText>
      </w:r>
      <w:r w:rsidRPr="00E633CD">
        <w:rPr>
          <w:bCs/>
          <w:szCs w:val="24"/>
        </w:rPr>
        <w:fldChar w:fldCharType="separate"/>
      </w:r>
      <w:r w:rsidR="006F60F6">
        <w:rPr>
          <w:noProof/>
        </w:rPr>
        <w:t>Table 1 Summary, selected physico-chemical properties of simazine</w:t>
      </w:r>
      <w:r w:rsidR="006F60F6">
        <w:rPr>
          <w:noProof/>
        </w:rPr>
        <w:tab/>
      </w:r>
      <w:r w:rsidR="006F60F6">
        <w:rPr>
          <w:noProof/>
        </w:rPr>
        <w:fldChar w:fldCharType="begin"/>
      </w:r>
      <w:r w:rsidR="006F60F6">
        <w:rPr>
          <w:noProof/>
        </w:rPr>
        <w:instrText xml:space="preserve"> PAGEREF _Toc189412390 \h </w:instrText>
      </w:r>
      <w:r w:rsidR="006F60F6">
        <w:rPr>
          <w:noProof/>
        </w:rPr>
      </w:r>
      <w:r w:rsidR="006F60F6">
        <w:rPr>
          <w:noProof/>
        </w:rPr>
        <w:fldChar w:fldCharType="separate"/>
      </w:r>
      <w:r w:rsidR="00E74306">
        <w:rPr>
          <w:noProof/>
        </w:rPr>
        <w:t>1</w:t>
      </w:r>
      <w:r w:rsidR="006F60F6">
        <w:rPr>
          <w:noProof/>
        </w:rPr>
        <w:fldChar w:fldCharType="end"/>
      </w:r>
    </w:p>
    <w:p w14:paraId="6EB0A026" w14:textId="63F4F433" w:rsidR="006F60F6" w:rsidRDefault="006F60F6">
      <w:pPr>
        <w:pStyle w:val="TableofFigures"/>
        <w:tabs>
          <w:tab w:val="right" w:leader="dot" w:pos="9060"/>
        </w:tabs>
        <w:rPr>
          <w:rFonts w:eastAsiaTheme="minorEastAsia"/>
          <w:noProof/>
          <w:kern w:val="2"/>
          <w:sz w:val="24"/>
          <w:szCs w:val="24"/>
          <w:lang w:eastAsia="en-AU"/>
          <w14:ligatures w14:val="standardContextual"/>
        </w:rPr>
      </w:pPr>
      <w:r>
        <w:rPr>
          <w:noProof/>
        </w:rPr>
        <w:t>Table 2 Summary of single toxicity values, all species used to derive the default guideline values for simazine in marine water</w:t>
      </w:r>
      <w:r>
        <w:rPr>
          <w:noProof/>
        </w:rPr>
        <w:tab/>
      </w:r>
      <w:r>
        <w:rPr>
          <w:noProof/>
        </w:rPr>
        <w:fldChar w:fldCharType="begin"/>
      </w:r>
      <w:r>
        <w:rPr>
          <w:noProof/>
        </w:rPr>
        <w:instrText xml:space="preserve"> PAGEREF _Toc189412391 \h </w:instrText>
      </w:r>
      <w:r>
        <w:rPr>
          <w:noProof/>
        </w:rPr>
      </w:r>
      <w:r>
        <w:rPr>
          <w:noProof/>
        </w:rPr>
        <w:fldChar w:fldCharType="separate"/>
      </w:r>
      <w:r w:rsidR="00E74306">
        <w:rPr>
          <w:noProof/>
        </w:rPr>
        <w:t>5</w:t>
      </w:r>
      <w:r>
        <w:rPr>
          <w:noProof/>
        </w:rPr>
        <w:fldChar w:fldCharType="end"/>
      </w:r>
    </w:p>
    <w:p w14:paraId="08FCBAC8" w14:textId="60D706D9" w:rsidR="006F60F6" w:rsidRDefault="006F60F6">
      <w:pPr>
        <w:pStyle w:val="TableofFigures"/>
        <w:tabs>
          <w:tab w:val="right" w:leader="dot" w:pos="9060"/>
        </w:tabs>
        <w:rPr>
          <w:rFonts w:eastAsiaTheme="minorEastAsia"/>
          <w:noProof/>
          <w:kern w:val="2"/>
          <w:sz w:val="24"/>
          <w:szCs w:val="24"/>
          <w:lang w:eastAsia="en-AU"/>
          <w14:ligatures w14:val="standardContextual"/>
        </w:rPr>
      </w:pPr>
      <w:r>
        <w:rPr>
          <w:noProof/>
        </w:rPr>
        <w:t>Table 3 Default guideline values, simazine in marine water, moderate reliability</w:t>
      </w:r>
      <w:r>
        <w:rPr>
          <w:noProof/>
        </w:rPr>
        <w:tab/>
      </w:r>
      <w:r>
        <w:rPr>
          <w:noProof/>
        </w:rPr>
        <w:fldChar w:fldCharType="begin"/>
      </w:r>
      <w:r>
        <w:rPr>
          <w:noProof/>
        </w:rPr>
        <w:instrText xml:space="preserve"> PAGEREF _Toc189412392 \h </w:instrText>
      </w:r>
      <w:r>
        <w:rPr>
          <w:noProof/>
        </w:rPr>
      </w:r>
      <w:r>
        <w:rPr>
          <w:noProof/>
        </w:rPr>
        <w:fldChar w:fldCharType="separate"/>
      </w:r>
      <w:r w:rsidR="00E74306">
        <w:rPr>
          <w:noProof/>
        </w:rPr>
        <w:t>8</w:t>
      </w:r>
      <w:r>
        <w:rPr>
          <w:noProof/>
        </w:rPr>
        <w:fldChar w:fldCharType="end"/>
      </w:r>
    </w:p>
    <w:p w14:paraId="76D1FD26" w14:textId="62965090" w:rsidR="00A2434B" w:rsidRDefault="00E55B1C" w:rsidP="00A2434B">
      <w:pPr>
        <w:pStyle w:val="TOCHeading2"/>
        <w:rPr>
          <w:bCs w:val="0"/>
          <w:szCs w:val="24"/>
        </w:rPr>
      </w:pPr>
      <w:r w:rsidRPr="00E633CD">
        <w:fldChar w:fldCharType="end"/>
      </w:r>
      <w:r w:rsidR="00A2434B">
        <w:rPr>
          <w:bCs w:val="0"/>
          <w:szCs w:val="24"/>
        </w:rPr>
        <w:t>Appendix figures</w:t>
      </w:r>
    </w:p>
    <w:p w14:paraId="5A892FF4" w14:textId="78DD33E5" w:rsidR="006F60F6" w:rsidRDefault="00A2434B">
      <w:pPr>
        <w:pStyle w:val="TableofFigures"/>
        <w:tabs>
          <w:tab w:val="right" w:leader="dot" w:pos="9060"/>
        </w:tabs>
        <w:rPr>
          <w:rFonts w:eastAsiaTheme="minorEastAsia"/>
          <w:noProof/>
          <w:kern w:val="2"/>
          <w:sz w:val="24"/>
          <w:szCs w:val="24"/>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89412393" w:history="1">
        <w:r w:rsidR="006F60F6" w:rsidRPr="004216DD">
          <w:rPr>
            <w:rStyle w:val="Hyperlink"/>
            <w:noProof/>
          </w:rPr>
          <w:t>Figure B 1</w:t>
        </w:r>
        <w:r w:rsidR="006F60F6" w:rsidRPr="004216DD">
          <w:rPr>
            <w:rStyle w:val="Hyperlink"/>
            <w:noProof/>
            <w:lang w:eastAsia="ja-JP"/>
          </w:rPr>
          <w:t xml:space="preserve"> Box plot, comparison of freshwater and marine species sensitivities to simazine</w:t>
        </w:r>
        <w:r w:rsidR="006F60F6">
          <w:rPr>
            <w:noProof/>
            <w:webHidden/>
          </w:rPr>
          <w:tab/>
        </w:r>
        <w:r w:rsidR="006F60F6">
          <w:rPr>
            <w:noProof/>
            <w:webHidden/>
          </w:rPr>
          <w:fldChar w:fldCharType="begin"/>
        </w:r>
        <w:r w:rsidR="006F60F6">
          <w:rPr>
            <w:noProof/>
            <w:webHidden/>
          </w:rPr>
          <w:instrText xml:space="preserve"> PAGEREF _Toc189412393 \h </w:instrText>
        </w:r>
        <w:r w:rsidR="006F60F6">
          <w:rPr>
            <w:noProof/>
            <w:webHidden/>
          </w:rPr>
        </w:r>
        <w:r w:rsidR="006F60F6">
          <w:rPr>
            <w:noProof/>
            <w:webHidden/>
          </w:rPr>
          <w:fldChar w:fldCharType="separate"/>
        </w:r>
        <w:r w:rsidR="00E74306">
          <w:rPr>
            <w:noProof/>
            <w:webHidden/>
          </w:rPr>
          <w:t>14</w:t>
        </w:r>
        <w:r w:rsidR="006F60F6">
          <w:rPr>
            <w:noProof/>
            <w:webHidden/>
          </w:rPr>
          <w:fldChar w:fldCharType="end"/>
        </w:r>
      </w:hyperlink>
    </w:p>
    <w:p w14:paraId="5C0190A9" w14:textId="4158FB71" w:rsidR="006F60F6" w:rsidRDefault="006F60F6">
      <w:pPr>
        <w:pStyle w:val="TableofFigures"/>
        <w:tabs>
          <w:tab w:val="right" w:leader="dot" w:pos="9060"/>
        </w:tabs>
        <w:rPr>
          <w:rFonts w:eastAsiaTheme="minorEastAsia"/>
          <w:noProof/>
          <w:kern w:val="2"/>
          <w:sz w:val="24"/>
          <w:szCs w:val="24"/>
          <w:lang w:eastAsia="en-AU"/>
          <w14:ligatures w14:val="standardContextual"/>
        </w:rPr>
      </w:pPr>
      <w:hyperlink w:anchor="_Toc189412394" w:history="1">
        <w:r w:rsidRPr="004216DD">
          <w:rPr>
            <w:rStyle w:val="Hyperlink"/>
            <w:noProof/>
          </w:rPr>
          <w:t>Figure B 2</w:t>
        </w:r>
        <w:r w:rsidRPr="004216DD">
          <w:rPr>
            <w:rStyle w:val="Hyperlink"/>
            <w:noProof/>
            <w:lang w:eastAsia="ja-JP"/>
          </w:rPr>
          <w:t xml:space="preserve"> Histogram</w:t>
        </w:r>
        <w:r w:rsidRPr="004216DD">
          <w:rPr>
            <w:rStyle w:val="Hyperlink"/>
            <w:noProof/>
          </w:rPr>
          <w:t xml:space="preserve"> of freshwater and marine species dataset</w:t>
        </w:r>
        <w:r>
          <w:rPr>
            <w:noProof/>
            <w:webHidden/>
          </w:rPr>
          <w:tab/>
        </w:r>
        <w:r>
          <w:rPr>
            <w:noProof/>
            <w:webHidden/>
          </w:rPr>
          <w:fldChar w:fldCharType="begin"/>
        </w:r>
        <w:r>
          <w:rPr>
            <w:noProof/>
            <w:webHidden/>
          </w:rPr>
          <w:instrText xml:space="preserve"> PAGEREF _Toc189412394 \h </w:instrText>
        </w:r>
        <w:r>
          <w:rPr>
            <w:noProof/>
            <w:webHidden/>
          </w:rPr>
        </w:r>
        <w:r>
          <w:rPr>
            <w:noProof/>
            <w:webHidden/>
          </w:rPr>
          <w:fldChar w:fldCharType="separate"/>
        </w:r>
        <w:r w:rsidR="00E74306">
          <w:rPr>
            <w:noProof/>
            <w:webHidden/>
          </w:rPr>
          <w:t>15</w:t>
        </w:r>
        <w:r>
          <w:rPr>
            <w:noProof/>
            <w:webHidden/>
          </w:rPr>
          <w:fldChar w:fldCharType="end"/>
        </w:r>
      </w:hyperlink>
    </w:p>
    <w:p w14:paraId="43178840" w14:textId="23BD6FF2" w:rsidR="006F60F6" w:rsidRDefault="006F60F6">
      <w:pPr>
        <w:pStyle w:val="TableofFigures"/>
        <w:tabs>
          <w:tab w:val="right" w:leader="dot" w:pos="9060"/>
        </w:tabs>
        <w:rPr>
          <w:rFonts w:eastAsiaTheme="minorEastAsia"/>
          <w:noProof/>
          <w:kern w:val="2"/>
          <w:sz w:val="24"/>
          <w:szCs w:val="24"/>
          <w:lang w:eastAsia="en-AU"/>
          <w14:ligatures w14:val="standardContextual"/>
        </w:rPr>
      </w:pPr>
      <w:hyperlink w:anchor="_Toc189412395" w:history="1">
        <w:r w:rsidRPr="004216DD">
          <w:rPr>
            <w:rStyle w:val="Hyperlink"/>
            <w:noProof/>
          </w:rPr>
          <w:t>Figure B 3</w:t>
        </w:r>
        <w:r w:rsidRPr="004216DD">
          <w:rPr>
            <w:rStyle w:val="Hyperlink"/>
            <w:noProof/>
            <w:lang w:eastAsia="ja-JP"/>
          </w:rPr>
          <w:t xml:space="preserve"> Box plot, </w:t>
        </w:r>
        <w:r w:rsidRPr="004216DD">
          <w:rPr>
            <w:rStyle w:val="Hyperlink"/>
            <w:noProof/>
          </w:rPr>
          <w:t>comparison of phototroph and heterotroph sensitivity to simazine</w:t>
        </w:r>
        <w:r>
          <w:rPr>
            <w:noProof/>
            <w:webHidden/>
          </w:rPr>
          <w:tab/>
        </w:r>
        <w:r>
          <w:rPr>
            <w:noProof/>
            <w:webHidden/>
          </w:rPr>
          <w:fldChar w:fldCharType="begin"/>
        </w:r>
        <w:r>
          <w:rPr>
            <w:noProof/>
            <w:webHidden/>
          </w:rPr>
          <w:instrText xml:space="preserve"> PAGEREF _Toc189412395 \h </w:instrText>
        </w:r>
        <w:r>
          <w:rPr>
            <w:noProof/>
            <w:webHidden/>
          </w:rPr>
        </w:r>
        <w:r>
          <w:rPr>
            <w:noProof/>
            <w:webHidden/>
          </w:rPr>
          <w:fldChar w:fldCharType="separate"/>
        </w:r>
        <w:r w:rsidR="00E74306">
          <w:rPr>
            <w:noProof/>
            <w:webHidden/>
          </w:rPr>
          <w:t>15</w:t>
        </w:r>
        <w:r>
          <w:rPr>
            <w:noProof/>
            <w:webHidden/>
          </w:rPr>
          <w:fldChar w:fldCharType="end"/>
        </w:r>
      </w:hyperlink>
    </w:p>
    <w:p w14:paraId="54EF66BC" w14:textId="7DEAFCBA" w:rsidR="006F60F6" w:rsidRDefault="006F60F6" w:rsidP="00A2434B">
      <w:pPr>
        <w:pStyle w:val="TableofFigures"/>
        <w:tabs>
          <w:tab w:val="right" w:leader="dot" w:pos="9060"/>
        </w:tabs>
        <w:rPr>
          <w:noProof/>
        </w:rPr>
      </w:pPr>
      <w:hyperlink w:anchor="_Toc189412396" w:history="1">
        <w:r w:rsidRPr="004216DD">
          <w:rPr>
            <w:rStyle w:val="Hyperlink"/>
            <w:noProof/>
          </w:rPr>
          <w:t>Figure B 4</w:t>
        </w:r>
        <w:r w:rsidRPr="004216DD">
          <w:rPr>
            <w:rStyle w:val="Hyperlink"/>
            <w:noProof/>
            <w:lang w:eastAsia="ja-JP"/>
          </w:rPr>
          <w:t xml:space="preserve"> Species sensitivity distribution, </w:t>
        </w:r>
        <w:r w:rsidRPr="004216DD">
          <w:rPr>
            <w:rStyle w:val="Hyperlink"/>
            <w:noProof/>
          </w:rPr>
          <w:t>comparison of phototroph and heterotroph sensitivity</w:t>
        </w:r>
        <w:r w:rsidR="00DE12CC">
          <w:rPr>
            <w:rStyle w:val="Hyperlink"/>
            <w:noProof/>
          </w:rPr>
          <w:br/>
        </w:r>
        <w:r w:rsidRPr="004216DD">
          <w:rPr>
            <w:rStyle w:val="Hyperlink"/>
            <w:noProof/>
          </w:rPr>
          <w:t>to simazine</w:t>
        </w:r>
        <w:r>
          <w:rPr>
            <w:noProof/>
            <w:webHidden/>
          </w:rPr>
          <w:tab/>
        </w:r>
        <w:r>
          <w:rPr>
            <w:noProof/>
            <w:webHidden/>
          </w:rPr>
          <w:fldChar w:fldCharType="begin"/>
        </w:r>
        <w:r>
          <w:rPr>
            <w:noProof/>
            <w:webHidden/>
          </w:rPr>
          <w:instrText xml:space="preserve"> PAGEREF _Toc189412396 \h </w:instrText>
        </w:r>
        <w:r>
          <w:rPr>
            <w:noProof/>
            <w:webHidden/>
          </w:rPr>
        </w:r>
        <w:r>
          <w:rPr>
            <w:noProof/>
            <w:webHidden/>
          </w:rPr>
          <w:fldChar w:fldCharType="separate"/>
        </w:r>
        <w:r w:rsidR="00E74306">
          <w:rPr>
            <w:noProof/>
            <w:webHidden/>
          </w:rPr>
          <w:t>16</w:t>
        </w:r>
        <w:r>
          <w:rPr>
            <w:noProof/>
            <w:webHidden/>
          </w:rPr>
          <w:fldChar w:fldCharType="end"/>
        </w:r>
      </w:hyperlink>
      <w:r w:rsidR="00A2434B">
        <w:rPr>
          <w:lang w:val="en-US"/>
        </w:rPr>
        <w:fldChar w:fldCharType="end"/>
      </w:r>
      <w:r w:rsidR="00A2434B">
        <w:rPr>
          <w:bCs/>
        </w:rPr>
        <w:fldChar w:fldCharType="begin"/>
      </w:r>
      <w:r w:rsidR="00A2434B">
        <w:rPr>
          <w:bCs/>
        </w:rPr>
        <w:instrText xml:space="preserve"> TOC \h \z \c "Figure C" </w:instrText>
      </w:r>
      <w:r w:rsidR="00A2434B">
        <w:rPr>
          <w:bCs/>
        </w:rPr>
        <w:fldChar w:fldCharType="separate"/>
      </w:r>
    </w:p>
    <w:p w14:paraId="7F451ACD" w14:textId="678F7DEA" w:rsidR="006F60F6" w:rsidRDefault="006F60F6">
      <w:pPr>
        <w:pStyle w:val="TableofFigures"/>
        <w:tabs>
          <w:tab w:val="right" w:leader="dot" w:pos="9060"/>
        </w:tabs>
        <w:rPr>
          <w:rFonts w:eastAsiaTheme="minorEastAsia"/>
          <w:noProof/>
          <w:kern w:val="2"/>
          <w:sz w:val="24"/>
          <w:szCs w:val="24"/>
          <w:lang w:eastAsia="en-AU"/>
          <w14:ligatures w14:val="standardContextual"/>
        </w:rPr>
      </w:pPr>
      <w:hyperlink w:anchor="_Toc189412398" w:history="1">
        <w:r w:rsidRPr="008E055E">
          <w:rPr>
            <w:rStyle w:val="Hyperlink"/>
            <w:noProof/>
          </w:rPr>
          <w:t>Figure C 1</w:t>
        </w:r>
        <w:r w:rsidRPr="008E055E">
          <w:rPr>
            <w:rStyle w:val="Hyperlink"/>
            <w:noProof/>
            <w:lang w:eastAsia="ja-JP"/>
          </w:rPr>
          <w:t xml:space="preserve"> Species sensitivity distribution, first dataset, simazine in marine water</w:t>
        </w:r>
        <w:r>
          <w:rPr>
            <w:noProof/>
            <w:webHidden/>
          </w:rPr>
          <w:tab/>
        </w:r>
        <w:r>
          <w:rPr>
            <w:noProof/>
            <w:webHidden/>
          </w:rPr>
          <w:fldChar w:fldCharType="begin"/>
        </w:r>
        <w:r>
          <w:rPr>
            <w:noProof/>
            <w:webHidden/>
          </w:rPr>
          <w:instrText xml:space="preserve"> PAGEREF _Toc189412398 \h </w:instrText>
        </w:r>
        <w:r>
          <w:rPr>
            <w:noProof/>
            <w:webHidden/>
          </w:rPr>
        </w:r>
        <w:r>
          <w:rPr>
            <w:noProof/>
            <w:webHidden/>
          </w:rPr>
          <w:fldChar w:fldCharType="separate"/>
        </w:r>
        <w:r w:rsidR="00E74306">
          <w:rPr>
            <w:noProof/>
            <w:webHidden/>
          </w:rPr>
          <w:t>17</w:t>
        </w:r>
        <w:r>
          <w:rPr>
            <w:noProof/>
            <w:webHidden/>
          </w:rPr>
          <w:fldChar w:fldCharType="end"/>
        </w:r>
      </w:hyperlink>
    </w:p>
    <w:p w14:paraId="7FFFBAE2" w14:textId="1C18086D" w:rsidR="00A2434B" w:rsidRDefault="006F60F6" w:rsidP="006F60F6">
      <w:pPr>
        <w:pStyle w:val="TableofFigures"/>
        <w:tabs>
          <w:tab w:val="right" w:leader="dot" w:pos="9060"/>
        </w:tabs>
      </w:pPr>
      <w:hyperlink w:anchor="_Toc189412399" w:history="1">
        <w:r w:rsidRPr="008E055E">
          <w:rPr>
            <w:rStyle w:val="Hyperlink"/>
            <w:noProof/>
          </w:rPr>
          <w:t>Figure C 2</w:t>
        </w:r>
        <w:r w:rsidRPr="008E055E">
          <w:rPr>
            <w:rStyle w:val="Hyperlink"/>
            <w:noProof/>
            <w:lang w:eastAsia="ja-JP"/>
          </w:rPr>
          <w:t xml:space="preserve"> Species sensitivity distribution, second dataset, simazine in marine water</w:t>
        </w:r>
        <w:r>
          <w:rPr>
            <w:noProof/>
            <w:webHidden/>
          </w:rPr>
          <w:tab/>
        </w:r>
        <w:r>
          <w:rPr>
            <w:noProof/>
            <w:webHidden/>
          </w:rPr>
          <w:fldChar w:fldCharType="begin"/>
        </w:r>
        <w:r>
          <w:rPr>
            <w:noProof/>
            <w:webHidden/>
          </w:rPr>
          <w:instrText xml:space="preserve"> PAGEREF _Toc189412399 \h </w:instrText>
        </w:r>
        <w:r>
          <w:rPr>
            <w:noProof/>
            <w:webHidden/>
          </w:rPr>
        </w:r>
        <w:r>
          <w:rPr>
            <w:noProof/>
            <w:webHidden/>
          </w:rPr>
          <w:fldChar w:fldCharType="separate"/>
        </w:r>
        <w:r w:rsidR="00E74306">
          <w:rPr>
            <w:noProof/>
            <w:webHidden/>
          </w:rPr>
          <w:t>18</w:t>
        </w:r>
        <w:r>
          <w:rPr>
            <w:noProof/>
            <w:webHidden/>
          </w:rPr>
          <w:fldChar w:fldCharType="end"/>
        </w:r>
      </w:hyperlink>
      <w:r w:rsidR="00A2434B">
        <w:fldChar w:fldCharType="end"/>
      </w:r>
    </w:p>
    <w:p w14:paraId="342E8704" w14:textId="10B17ED8" w:rsidR="00A2434B" w:rsidRDefault="00A2434B" w:rsidP="00A2434B">
      <w:pPr>
        <w:pStyle w:val="TOCHeading2"/>
        <w:keepNext/>
        <w:keepLines/>
        <w:rPr>
          <w:bCs w:val="0"/>
          <w:szCs w:val="24"/>
        </w:rPr>
      </w:pPr>
      <w:r>
        <w:rPr>
          <w:bCs w:val="0"/>
          <w:szCs w:val="24"/>
        </w:rPr>
        <w:lastRenderedPageBreak/>
        <w:t>Appendix tables</w:t>
      </w:r>
    </w:p>
    <w:p w14:paraId="4B1CA6C6" w14:textId="0B7877E5" w:rsidR="006C7B65" w:rsidRDefault="00A2434B" w:rsidP="00DE03DF">
      <w:pPr>
        <w:pStyle w:val="TableofFigures"/>
        <w:tabs>
          <w:tab w:val="right" w:leader="dot" w:pos="9060"/>
        </w:tabs>
      </w:pPr>
      <w:r>
        <w:rPr>
          <w:bCs/>
        </w:rPr>
        <w:fldChar w:fldCharType="begin"/>
      </w:r>
      <w:r>
        <w:rPr>
          <w:bCs/>
        </w:rPr>
        <w:instrText xml:space="preserve"> TOC \h \z \c "Table A" </w:instrText>
      </w:r>
      <w:r>
        <w:rPr>
          <w:bCs/>
        </w:rPr>
        <w:fldChar w:fldCharType="separate"/>
      </w:r>
      <w:hyperlink w:anchor="_Toc189412402" w:history="1">
        <w:r w:rsidR="006F60F6" w:rsidRPr="00ED205B">
          <w:rPr>
            <w:rStyle w:val="Hyperlink"/>
            <w:noProof/>
          </w:rPr>
          <w:t>Table A 1 Summary, toxicity data that passed the screening and quality assurance processes, simazine in marine water</w:t>
        </w:r>
        <w:r w:rsidR="006F60F6">
          <w:rPr>
            <w:noProof/>
            <w:webHidden/>
          </w:rPr>
          <w:tab/>
        </w:r>
        <w:r w:rsidR="006F60F6">
          <w:rPr>
            <w:noProof/>
            <w:webHidden/>
          </w:rPr>
          <w:fldChar w:fldCharType="begin"/>
        </w:r>
        <w:r w:rsidR="006F60F6">
          <w:rPr>
            <w:noProof/>
            <w:webHidden/>
          </w:rPr>
          <w:instrText xml:space="preserve"> PAGEREF _Toc189412402 \h </w:instrText>
        </w:r>
        <w:r w:rsidR="006F60F6">
          <w:rPr>
            <w:noProof/>
            <w:webHidden/>
          </w:rPr>
        </w:r>
        <w:r w:rsidR="006F60F6">
          <w:rPr>
            <w:noProof/>
            <w:webHidden/>
          </w:rPr>
          <w:fldChar w:fldCharType="separate"/>
        </w:r>
        <w:r w:rsidR="00E74306">
          <w:rPr>
            <w:noProof/>
            <w:webHidden/>
          </w:rPr>
          <w:t>11</w:t>
        </w:r>
        <w:r w:rsidR="006F60F6">
          <w:rPr>
            <w:noProof/>
            <w:webHidden/>
          </w:rPr>
          <w:fldChar w:fldCharType="end"/>
        </w:r>
      </w:hyperlink>
      <w:r>
        <w:fldChar w:fldCharType="end"/>
      </w:r>
    </w:p>
    <w:p w14:paraId="741BACED" w14:textId="2E5D8AA7" w:rsidR="006F60F6" w:rsidRDefault="00A2434B">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C" </w:instrText>
      </w:r>
      <w:r>
        <w:fldChar w:fldCharType="separate"/>
      </w:r>
      <w:hyperlink w:anchor="_Toc189412406" w:history="1">
        <w:r w:rsidR="006F60F6" w:rsidRPr="00B142A4">
          <w:rPr>
            <w:rStyle w:val="Hyperlink"/>
            <w:noProof/>
          </w:rPr>
          <w:t>Table C 1</w:t>
        </w:r>
        <w:r w:rsidR="006F60F6" w:rsidRPr="00B142A4">
          <w:rPr>
            <w:rStyle w:val="Hyperlink"/>
            <w:noProof/>
            <w:lang w:eastAsia="ja-JP"/>
          </w:rPr>
          <w:t xml:space="preserve"> Protective concentrations, first dataset, simazine in marine water, moderate reliability</w:t>
        </w:r>
        <w:r w:rsidR="006F60F6">
          <w:rPr>
            <w:noProof/>
            <w:webHidden/>
          </w:rPr>
          <w:tab/>
        </w:r>
        <w:r w:rsidR="006F60F6">
          <w:rPr>
            <w:noProof/>
            <w:webHidden/>
          </w:rPr>
          <w:fldChar w:fldCharType="begin"/>
        </w:r>
        <w:r w:rsidR="006F60F6">
          <w:rPr>
            <w:noProof/>
            <w:webHidden/>
          </w:rPr>
          <w:instrText xml:space="preserve"> PAGEREF _Toc189412406 \h </w:instrText>
        </w:r>
        <w:r w:rsidR="006F60F6">
          <w:rPr>
            <w:noProof/>
            <w:webHidden/>
          </w:rPr>
        </w:r>
        <w:r w:rsidR="006F60F6">
          <w:rPr>
            <w:noProof/>
            <w:webHidden/>
          </w:rPr>
          <w:fldChar w:fldCharType="separate"/>
        </w:r>
        <w:r w:rsidR="00E74306">
          <w:rPr>
            <w:noProof/>
            <w:webHidden/>
          </w:rPr>
          <w:t>17</w:t>
        </w:r>
        <w:r w:rsidR="006F60F6">
          <w:rPr>
            <w:noProof/>
            <w:webHidden/>
          </w:rPr>
          <w:fldChar w:fldCharType="end"/>
        </w:r>
      </w:hyperlink>
    </w:p>
    <w:p w14:paraId="64C5FD87" w14:textId="7E881FAB" w:rsidR="006F60F6" w:rsidRDefault="006F60F6">
      <w:pPr>
        <w:pStyle w:val="TableofFigures"/>
        <w:tabs>
          <w:tab w:val="right" w:leader="dot" w:pos="9060"/>
        </w:tabs>
        <w:rPr>
          <w:rFonts w:eastAsiaTheme="minorEastAsia"/>
          <w:noProof/>
          <w:kern w:val="2"/>
          <w:sz w:val="24"/>
          <w:szCs w:val="24"/>
          <w:lang w:eastAsia="en-AU"/>
          <w14:ligatures w14:val="standardContextual"/>
        </w:rPr>
      </w:pPr>
      <w:hyperlink w:anchor="_Toc189412407" w:history="1">
        <w:r w:rsidRPr="00B142A4">
          <w:rPr>
            <w:rStyle w:val="Hyperlink"/>
            <w:noProof/>
          </w:rPr>
          <w:t>Table C 2</w:t>
        </w:r>
        <w:r w:rsidRPr="00B142A4">
          <w:rPr>
            <w:rStyle w:val="Hyperlink"/>
            <w:noProof/>
            <w:lang w:eastAsia="ja-JP"/>
          </w:rPr>
          <w:t xml:space="preserve"> Protective concentrations, second dataset, simazine in marine water, moderate</w:t>
        </w:r>
        <w:r w:rsidR="00DE12CC">
          <w:rPr>
            <w:rStyle w:val="Hyperlink"/>
            <w:noProof/>
            <w:lang w:eastAsia="ja-JP"/>
          </w:rPr>
          <w:br/>
        </w:r>
        <w:r w:rsidRPr="00B142A4">
          <w:rPr>
            <w:rStyle w:val="Hyperlink"/>
            <w:noProof/>
            <w:lang w:eastAsia="ja-JP"/>
          </w:rPr>
          <w:t>reliability</w:t>
        </w:r>
        <w:r>
          <w:rPr>
            <w:noProof/>
            <w:webHidden/>
          </w:rPr>
          <w:tab/>
        </w:r>
        <w:r>
          <w:rPr>
            <w:noProof/>
            <w:webHidden/>
          </w:rPr>
          <w:fldChar w:fldCharType="begin"/>
        </w:r>
        <w:r>
          <w:rPr>
            <w:noProof/>
            <w:webHidden/>
          </w:rPr>
          <w:instrText xml:space="preserve"> PAGEREF _Toc189412407 \h </w:instrText>
        </w:r>
        <w:r>
          <w:rPr>
            <w:noProof/>
            <w:webHidden/>
          </w:rPr>
        </w:r>
        <w:r>
          <w:rPr>
            <w:noProof/>
            <w:webHidden/>
          </w:rPr>
          <w:fldChar w:fldCharType="separate"/>
        </w:r>
        <w:r w:rsidR="00E74306">
          <w:rPr>
            <w:noProof/>
            <w:webHidden/>
          </w:rPr>
          <w:t>18</w:t>
        </w:r>
        <w:r>
          <w:rPr>
            <w:noProof/>
            <w:webHidden/>
          </w:rPr>
          <w:fldChar w:fldCharType="end"/>
        </w:r>
      </w:hyperlink>
    </w:p>
    <w:p w14:paraId="0AB7FF7F" w14:textId="1A9C0095" w:rsidR="00A2434B" w:rsidRPr="00A2434B" w:rsidRDefault="00A2434B" w:rsidP="00A2434B">
      <w:r>
        <w:fldChar w:fldCharType="end"/>
      </w:r>
    </w:p>
    <w:p w14:paraId="0C18E2A3" w14:textId="5A28F653" w:rsidR="00401C43" w:rsidRPr="00E633CD" w:rsidRDefault="00401C43" w:rsidP="00401C43">
      <w:pPr>
        <w:pStyle w:val="TOCHeading2"/>
      </w:pPr>
      <w:r w:rsidRPr="00E633CD">
        <w:br w:type="page"/>
      </w:r>
    </w:p>
    <w:p w14:paraId="5463ADEF" w14:textId="4666AC67" w:rsidR="001C0D1C" w:rsidRPr="00E633CD" w:rsidRDefault="00E55B1C" w:rsidP="00B20651">
      <w:pPr>
        <w:pStyle w:val="Heading2"/>
        <w:numPr>
          <w:ilvl w:val="0"/>
          <w:numId w:val="0"/>
        </w:numPr>
        <w:ind w:left="680" w:hanging="680"/>
      </w:pPr>
      <w:bookmarkStart w:id="0" w:name="_Toc189412372"/>
      <w:r w:rsidRPr="00E633CD">
        <w:lastRenderedPageBreak/>
        <w:t>Summary</w:t>
      </w:r>
      <w:bookmarkEnd w:id="0"/>
    </w:p>
    <w:p w14:paraId="75CF0F1E" w14:textId="70D07293" w:rsidR="003069E9" w:rsidRDefault="003069E9" w:rsidP="00E633CD">
      <w:pPr>
        <w:rPr>
          <w:rFonts w:cstheme="minorHAnsi"/>
        </w:rPr>
      </w:pPr>
      <w:r w:rsidRPr="003069E9">
        <w:rPr>
          <w:rFonts w:cstheme="minorHAnsi"/>
        </w:rPr>
        <w:t>The default guideline values (DGVs) and associated information in this technical brief should be used in accordance with the detailed guidance provided in the Australian and New Zealand Guidelines for Fresh and Marine Water Quality website (www.waterquality.gov.au/anz-guidelines).</w:t>
      </w:r>
    </w:p>
    <w:p w14:paraId="5273941F" w14:textId="6B44BA04" w:rsidR="00E633CD" w:rsidRPr="00E633CD" w:rsidRDefault="00E633CD" w:rsidP="00E633CD">
      <w:pPr>
        <w:rPr>
          <w:rFonts w:cstheme="minorHAnsi"/>
        </w:rPr>
      </w:pPr>
      <w:r w:rsidRPr="00E633CD">
        <w:rPr>
          <w:rFonts w:cstheme="minorHAnsi"/>
        </w:rPr>
        <w:t>Simazine (6-chloro-N2,N4-diethyl-1,3,5-triazine-2,4-diamine</w:t>
      </w:r>
      <w:r w:rsidR="003028C0">
        <w:rPr>
          <w:rFonts w:cstheme="minorHAnsi"/>
        </w:rPr>
        <w:t>,</w:t>
      </w:r>
      <w:r w:rsidRPr="00E633CD">
        <w:rPr>
          <w:rFonts w:cstheme="minorHAnsi"/>
        </w:rPr>
        <w:t xml:space="preserve"> CAS </w:t>
      </w:r>
      <w:r w:rsidR="003028C0" w:rsidRPr="00E633CD">
        <w:rPr>
          <w:rFonts w:cstheme="minorHAnsi"/>
        </w:rPr>
        <w:t>no</w:t>
      </w:r>
      <w:r w:rsidRPr="00E633CD">
        <w:rPr>
          <w:rFonts w:cstheme="minorHAnsi"/>
        </w:rPr>
        <w:t>. 122-34-9) is a selective, systemic triazine herbicide or</w:t>
      </w:r>
      <w:r w:rsidR="0025009D">
        <w:rPr>
          <w:rFonts w:cstheme="minorHAnsi"/>
        </w:rPr>
        <w:t>,</w:t>
      </w:r>
      <w:r w:rsidRPr="00E633CD">
        <w:rPr>
          <w:rFonts w:cstheme="minorHAnsi"/>
        </w:rPr>
        <w:t xml:space="preserve"> more specifically</w:t>
      </w:r>
      <w:r w:rsidR="0025009D">
        <w:rPr>
          <w:rFonts w:cstheme="minorHAnsi"/>
        </w:rPr>
        <w:t>,</w:t>
      </w:r>
      <w:r w:rsidRPr="00E633CD">
        <w:rPr>
          <w:rFonts w:cstheme="minorHAnsi"/>
        </w:rPr>
        <w:t xml:space="preserve"> a chlorotriazine herbicide. Other chlorotriazine herbicides include atrazine, propazine and terbuthylazine. Simazine is a photosynthesis-inhibiting herbicide</w:t>
      </w:r>
      <w:r w:rsidR="003028C0">
        <w:rPr>
          <w:rFonts w:cstheme="minorHAnsi"/>
        </w:rPr>
        <w:t xml:space="preserve"> commonly</w:t>
      </w:r>
      <w:r w:rsidRPr="00E633CD">
        <w:rPr>
          <w:rFonts w:cstheme="minorHAnsi"/>
        </w:rPr>
        <w:t xml:space="preserve"> used to control a large variety of weed</w:t>
      </w:r>
      <w:r w:rsidR="0025009D">
        <w:rPr>
          <w:rFonts w:cstheme="minorHAnsi"/>
        </w:rPr>
        <w:t>s</w:t>
      </w:r>
      <w:r w:rsidRPr="00E633CD">
        <w:rPr>
          <w:rFonts w:cstheme="minorHAnsi"/>
        </w:rPr>
        <w:t xml:space="preserve"> in agriculture (for specific cropping and non-cropping purposes), forestry and a range of urban and industrial settings (ACVM 2020</w:t>
      </w:r>
      <w:r w:rsidR="00400F53">
        <w:rPr>
          <w:rFonts w:cstheme="minorHAnsi"/>
        </w:rPr>
        <w:t>;</w:t>
      </w:r>
      <w:r w:rsidRPr="00E633CD">
        <w:rPr>
          <w:rFonts w:cstheme="minorHAnsi"/>
        </w:rPr>
        <w:t xml:space="preserve"> APVMA 2020).</w:t>
      </w:r>
    </w:p>
    <w:p w14:paraId="37063E15" w14:textId="0153944E" w:rsidR="00E633CD" w:rsidRPr="00E633CD" w:rsidRDefault="00E633CD" w:rsidP="00E633CD">
      <w:pPr>
        <w:rPr>
          <w:rFonts w:cstheme="minorHAnsi"/>
        </w:rPr>
      </w:pPr>
      <w:r w:rsidRPr="00E633CD">
        <w:rPr>
          <w:rFonts w:cstheme="minorHAnsi"/>
        </w:rPr>
        <w:t xml:space="preserve">The previous DGV for simazine in marine </w:t>
      </w:r>
      <w:r w:rsidR="003028C0">
        <w:rPr>
          <w:rFonts w:cstheme="minorHAnsi"/>
        </w:rPr>
        <w:t>water</w:t>
      </w:r>
      <w:r w:rsidRPr="00E633CD">
        <w:rPr>
          <w:rFonts w:cstheme="minorHAnsi"/>
        </w:rPr>
        <w:t xml:space="preserve"> was a low reliability </w:t>
      </w:r>
      <w:r w:rsidR="003028C0">
        <w:rPr>
          <w:rFonts w:cstheme="minorHAnsi"/>
        </w:rPr>
        <w:t xml:space="preserve">value </w:t>
      </w:r>
      <w:r w:rsidRPr="00E633CD">
        <w:rPr>
          <w:rFonts w:cstheme="minorHAnsi"/>
        </w:rPr>
        <w:t>(using ANZECC</w:t>
      </w:r>
      <w:r w:rsidR="00400F53">
        <w:rPr>
          <w:rFonts w:cstheme="minorHAnsi"/>
        </w:rPr>
        <w:t>/</w:t>
      </w:r>
      <w:r w:rsidRPr="00E633CD">
        <w:rPr>
          <w:rFonts w:cstheme="minorHAnsi"/>
        </w:rPr>
        <w:t xml:space="preserve">ARMCANZ </w:t>
      </w:r>
      <w:r w:rsidR="003028C0">
        <w:rPr>
          <w:rFonts w:cstheme="minorHAnsi"/>
        </w:rPr>
        <w:t>(</w:t>
      </w:r>
      <w:r w:rsidRPr="00E633CD">
        <w:rPr>
          <w:rFonts w:cstheme="minorHAnsi"/>
        </w:rPr>
        <w:t>2000</w:t>
      </w:r>
      <w:r w:rsidR="003028C0">
        <w:rPr>
          <w:rFonts w:cstheme="minorHAnsi"/>
        </w:rPr>
        <w:t>)</w:t>
      </w:r>
      <w:r w:rsidRPr="00E633CD">
        <w:rPr>
          <w:rFonts w:cstheme="minorHAnsi"/>
        </w:rPr>
        <w:t>)</w:t>
      </w:r>
      <w:r w:rsidR="00F17898">
        <w:rPr>
          <w:rFonts w:cstheme="minorHAnsi"/>
        </w:rPr>
        <w:t xml:space="preserve"> and</w:t>
      </w:r>
      <w:r w:rsidRPr="00E633CD">
        <w:rPr>
          <w:rFonts w:cstheme="minorHAnsi"/>
        </w:rPr>
        <w:t xml:space="preserve"> was adopted from the freshwater DGV</w:t>
      </w:r>
      <w:r w:rsidR="00F17898">
        <w:rPr>
          <w:rFonts w:cstheme="minorHAnsi"/>
        </w:rPr>
        <w:t>,</w:t>
      </w:r>
      <w:r w:rsidRPr="00E633CD">
        <w:rPr>
          <w:rFonts w:cstheme="minorHAnsi"/>
        </w:rPr>
        <w:t xml:space="preserve"> which was based on acute toxicity data for 12</w:t>
      </w:r>
      <w:r w:rsidR="00400F53">
        <w:rPr>
          <w:rFonts w:cstheme="minorHAnsi"/>
        </w:rPr>
        <w:t> </w:t>
      </w:r>
      <w:r w:rsidRPr="00E633CD">
        <w:rPr>
          <w:rFonts w:cstheme="minorHAnsi"/>
        </w:rPr>
        <w:t>phototroph</w:t>
      </w:r>
      <w:r w:rsidR="00F17898">
        <w:rPr>
          <w:rFonts w:cstheme="minorHAnsi"/>
        </w:rPr>
        <w:t>s</w:t>
      </w:r>
      <w:r w:rsidRPr="00E633CD">
        <w:rPr>
          <w:rFonts w:cstheme="minorHAnsi"/>
        </w:rPr>
        <w:t xml:space="preserve"> and heterotroph</w:t>
      </w:r>
      <w:r w:rsidR="00F17898">
        <w:rPr>
          <w:rFonts w:cstheme="minorHAnsi"/>
        </w:rPr>
        <w:t>s</w:t>
      </w:r>
      <w:r w:rsidRPr="00E633CD">
        <w:rPr>
          <w:rFonts w:cstheme="minorHAnsi"/>
        </w:rPr>
        <w:t xml:space="preserve"> from four taxonomic groups (i.e. fish, crustaceans, insects and algae) (Warne 2001). More data on simazine toxicity to marine species are now available</w:t>
      </w:r>
      <w:r w:rsidR="003028C0">
        <w:rPr>
          <w:rFonts w:cstheme="minorHAnsi"/>
        </w:rPr>
        <w:t xml:space="preserve">, </w:t>
      </w:r>
      <w:r w:rsidRPr="00E633CD">
        <w:rPr>
          <w:rFonts w:cstheme="minorHAnsi"/>
        </w:rPr>
        <w:t>enabl</w:t>
      </w:r>
      <w:r w:rsidR="00AF5A99">
        <w:rPr>
          <w:rFonts w:cstheme="minorHAnsi"/>
        </w:rPr>
        <w:t>ing</w:t>
      </w:r>
      <w:r w:rsidRPr="00E633CD">
        <w:rPr>
          <w:rFonts w:cstheme="minorHAnsi"/>
        </w:rPr>
        <w:t xml:space="preserve"> the calculation of more reliable DGVs.</w:t>
      </w:r>
    </w:p>
    <w:p w14:paraId="058876C9" w14:textId="6A5ED4A8" w:rsidR="00E633CD" w:rsidRPr="00E633CD" w:rsidRDefault="0097591C" w:rsidP="00E633CD">
      <w:pPr>
        <w:rPr>
          <w:rFonts w:cstheme="minorHAnsi"/>
        </w:rPr>
      </w:pPr>
      <w:r>
        <w:rPr>
          <w:rFonts w:cstheme="minorHAnsi"/>
        </w:rPr>
        <w:t>S</w:t>
      </w:r>
      <w:r w:rsidR="00E633CD" w:rsidRPr="00E633CD">
        <w:rPr>
          <w:rFonts w:cstheme="minorHAnsi"/>
        </w:rPr>
        <w:t xml:space="preserve">imazine </w:t>
      </w:r>
      <w:r>
        <w:rPr>
          <w:rFonts w:cstheme="minorHAnsi"/>
        </w:rPr>
        <w:t xml:space="preserve">has </w:t>
      </w:r>
      <w:r w:rsidR="00E633CD" w:rsidRPr="00E633CD">
        <w:rPr>
          <w:rFonts w:cstheme="minorHAnsi"/>
        </w:rPr>
        <w:t xml:space="preserve">a specific mode of action (inhibition of the photosystem II pathway) </w:t>
      </w:r>
      <w:r>
        <w:rPr>
          <w:rFonts w:cstheme="minorHAnsi"/>
        </w:rPr>
        <w:t>and</w:t>
      </w:r>
      <w:r w:rsidR="00E633CD" w:rsidRPr="00E633CD">
        <w:rPr>
          <w:rFonts w:cstheme="minorHAnsi"/>
        </w:rPr>
        <w:t xml:space="preserve"> a non-specific mode of action (formation of reactive oxygen species) and can exert biochemical effects such as endocrine disruption in other non-target organisms. Because of its specific mode of action, </w:t>
      </w:r>
      <w:r w:rsidR="00810654">
        <w:rPr>
          <w:rFonts w:cstheme="minorHAnsi"/>
        </w:rPr>
        <w:t xml:space="preserve">low </w:t>
      </w:r>
      <w:r w:rsidR="00E633CD" w:rsidRPr="00E633CD">
        <w:rPr>
          <w:rFonts w:cstheme="minorHAnsi"/>
        </w:rPr>
        <w:t xml:space="preserve">simazine </w:t>
      </w:r>
      <w:r w:rsidR="009C66C3">
        <w:rPr>
          <w:rFonts w:cstheme="minorHAnsi"/>
        </w:rPr>
        <w:t xml:space="preserve">concentrations </w:t>
      </w:r>
      <w:r w:rsidR="00E633CD" w:rsidRPr="00E633CD">
        <w:rPr>
          <w:rFonts w:cstheme="minorHAnsi"/>
        </w:rPr>
        <w:t xml:space="preserve">should be </w:t>
      </w:r>
      <w:r w:rsidR="00084208">
        <w:rPr>
          <w:rFonts w:cstheme="minorHAnsi"/>
        </w:rPr>
        <w:t xml:space="preserve">more </w:t>
      </w:r>
      <w:r w:rsidR="00E633CD" w:rsidRPr="00E633CD">
        <w:rPr>
          <w:rFonts w:cstheme="minorHAnsi"/>
        </w:rPr>
        <w:t xml:space="preserve">toxic to phototrophs </w:t>
      </w:r>
      <w:r w:rsidR="00084208">
        <w:rPr>
          <w:rFonts w:cstheme="minorHAnsi"/>
        </w:rPr>
        <w:t>than heterotrophs</w:t>
      </w:r>
      <w:r w:rsidR="00E633CD" w:rsidRPr="00E633CD">
        <w:rPr>
          <w:rFonts w:cstheme="minorHAnsi"/>
        </w:rPr>
        <w:t>. However, the various lines of evidence (</w:t>
      </w:r>
      <w:r w:rsidR="00485B6C">
        <w:rPr>
          <w:rFonts w:cstheme="minorHAnsi"/>
        </w:rPr>
        <w:fldChar w:fldCharType="begin"/>
      </w:r>
      <w:r w:rsidR="00485B6C">
        <w:rPr>
          <w:rFonts w:cstheme="minorHAnsi"/>
        </w:rPr>
        <w:instrText xml:space="preserve"> REF _Ref185510721 \h </w:instrText>
      </w:r>
      <w:r w:rsidR="00485B6C">
        <w:rPr>
          <w:rFonts w:cstheme="minorHAnsi"/>
        </w:rPr>
      </w:r>
      <w:r w:rsidR="00485B6C">
        <w:rPr>
          <w:rFonts w:cstheme="minorHAnsi"/>
        </w:rPr>
        <w:fldChar w:fldCharType="separate"/>
      </w:r>
      <w:r w:rsidR="00E74306">
        <w:t>Appendix </w:t>
      </w:r>
      <w:r w:rsidR="00E74306">
        <w:rPr>
          <w:noProof/>
        </w:rPr>
        <w:t>B</w:t>
      </w:r>
      <w:r w:rsidR="00485B6C">
        <w:rPr>
          <w:rFonts w:cstheme="minorHAnsi"/>
        </w:rPr>
        <w:fldChar w:fldCharType="end"/>
      </w:r>
      <w:r w:rsidR="00E633CD" w:rsidRPr="00E633CD">
        <w:rPr>
          <w:rFonts w:cstheme="minorHAnsi"/>
        </w:rPr>
        <w:t>) indicate no difference in the sensitivity of phototrophs and heterotrophs; therefore, the DGVs were derived using toxicity data for both phototroph</w:t>
      </w:r>
      <w:r w:rsidR="001155E7">
        <w:rPr>
          <w:rFonts w:cstheme="minorHAnsi"/>
        </w:rPr>
        <w:t>s</w:t>
      </w:r>
      <w:r w:rsidR="00E633CD" w:rsidRPr="00E633CD">
        <w:rPr>
          <w:rFonts w:cstheme="minorHAnsi"/>
        </w:rPr>
        <w:t xml:space="preserve"> and heterotroph</w:t>
      </w:r>
      <w:r w:rsidR="001155E7">
        <w:rPr>
          <w:rFonts w:cstheme="minorHAnsi"/>
        </w:rPr>
        <w:t>s</w:t>
      </w:r>
      <w:r w:rsidR="00E633CD" w:rsidRPr="00E633CD">
        <w:rPr>
          <w:rFonts w:cstheme="minorHAnsi"/>
        </w:rPr>
        <w:t>. The lowest reported chronic toxicity value to marine species is 37.5</w:t>
      </w:r>
      <w:r w:rsidR="00400F53">
        <w:rPr>
          <w:rFonts w:cstheme="minorHAnsi"/>
        </w:rPr>
        <w:t> </w:t>
      </w:r>
      <w:r w:rsidR="00E633CD" w:rsidRPr="00E633CD">
        <w:rPr>
          <w:rFonts w:cstheme="minorHAnsi"/>
        </w:rPr>
        <w:t>µg/L (microalga, 72-h NEC</w:t>
      </w:r>
      <w:r w:rsidR="00EF1013">
        <w:rPr>
          <w:rFonts w:cstheme="minorHAnsi"/>
        </w:rPr>
        <w:t>/EC10</w:t>
      </w:r>
      <w:r w:rsidR="00E633CD" w:rsidRPr="00E633CD">
        <w:rPr>
          <w:rFonts w:cstheme="minorHAnsi"/>
        </w:rPr>
        <w:t>) and the lowest reported acute toxicity value to marine species is 1</w:t>
      </w:r>
      <w:r w:rsidR="00400F53">
        <w:rPr>
          <w:rFonts w:cstheme="minorHAnsi"/>
        </w:rPr>
        <w:t> </w:t>
      </w:r>
      <w:r w:rsidR="00E633CD" w:rsidRPr="00E633CD">
        <w:rPr>
          <w:rFonts w:cstheme="minorHAnsi"/>
        </w:rPr>
        <w:t>000</w:t>
      </w:r>
      <w:r w:rsidR="00400F53">
        <w:rPr>
          <w:rFonts w:cstheme="minorHAnsi"/>
        </w:rPr>
        <w:t> </w:t>
      </w:r>
      <w:r w:rsidR="00E633CD" w:rsidRPr="00E633CD">
        <w:rPr>
          <w:rFonts w:cstheme="minorHAnsi"/>
        </w:rPr>
        <w:t>µg/L (fish, 96-h LOEL).</w:t>
      </w:r>
    </w:p>
    <w:p w14:paraId="13BB091D" w14:textId="5A8EE08D" w:rsidR="004E3D6E" w:rsidRDefault="00E633CD" w:rsidP="00E633CD">
      <w:pPr>
        <w:rPr>
          <w:rFonts w:cstheme="minorHAnsi"/>
          <w:highlight w:val="cyan"/>
        </w:rPr>
      </w:pPr>
      <w:r w:rsidRPr="00E633CD">
        <w:rPr>
          <w:rFonts w:cstheme="minorHAnsi"/>
        </w:rPr>
        <w:t xml:space="preserve">Moderate reliability DGVs for simazine in marine water were derived based on chronic, chronic estimated and converted acute negligible effect data (i.e. </w:t>
      </w:r>
      <w:r w:rsidR="00961DAD">
        <w:rPr>
          <w:rFonts w:cstheme="minorHAnsi"/>
        </w:rPr>
        <w:t xml:space="preserve">chronic </w:t>
      </w:r>
      <w:r w:rsidRPr="00E633CD">
        <w:rPr>
          <w:rFonts w:cstheme="minorHAnsi"/>
        </w:rPr>
        <w:t xml:space="preserve">10% effect concentration (EC10), </w:t>
      </w:r>
      <w:r w:rsidR="008758BF">
        <w:rPr>
          <w:rFonts w:cstheme="minorHAnsi"/>
        </w:rPr>
        <w:t xml:space="preserve">chronic </w:t>
      </w:r>
      <w:r w:rsidRPr="00E633CD">
        <w:rPr>
          <w:rFonts w:cstheme="minorHAnsi"/>
        </w:rPr>
        <w:t xml:space="preserve">10% inhibition concentration (IC10), </w:t>
      </w:r>
      <w:r w:rsidR="005565D0">
        <w:rPr>
          <w:rFonts w:cstheme="minorHAnsi"/>
        </w:rPr>
        <w:t xml:space="preserve">chronic </w:t>
      </w:r>
      <w:r w:rsidRPr="00E633CD">
        <w:rPr>
          <w:rFonts w:cstheme="minorHAnsi"/>
        </w:rPr>
        <w:t>no effect concentration (NEC)</w:t>
      </w:r>
      <w:r w:rsidR="00CE4867">
        <w:rPr>
          <w:rFonts w:cstheme="minorHAnsi"/>
        </w:rPr>
        <w:t>,</w:t>
      </w:r>
      <w:r w:rsidRPr="00E633CD">
        <w:rPr>
          <w:rFonts w:cstheme="minorHAnsi"/>
        </w:rPr>
        <w:t xml:space="preserve"> </w:t>
      </w:r>
      <w:r w:rsidR="005565D0">
        <w:rPr>
          <w:rFonts w:cstheme="minorHAnsi"/>
        </w:rPr>
        <w:t xml:space="preserve">chronic </w:t>
      </w:r>
      <w:r w:rsidRPr="00E633CD">
        <w:rPr>
          <w:rFonts w:cstheme="minorHAnsi"/>
        </w:rPr>
        <w:t>no observed effect level (NOEL))</w:t>
      </w:r>
      <w:r w:rsidR="00CE4867">
        <w:rPr>
          <w:rFonts w:cstheme="minorHAnsi"/>
        </w:rPr>
        <w:t xml:space="preserve"> and acute</w:t>
      </w:r>
      <w:r w:rsidR="0022107C">
        <w:rPr>
          <w:rFonts w:cstheme="minorHAnsi"/>
        </w:rPr>
        <w:t xml:space="preserve"> </w:t>
      </w:r>
      <w:r w:rsidR="001F0C52">
        <w:rPr>
          <w:rFonts w:cstheme="minorHAnsi"/>
        </w:rPr>
        <w:t xml:space="preserve">50% </w:t>
      </w:r>
      <w:r w:rsidR="002D14EB">
        <w:rPr>
          <w:rFonts w:cstheme="minorHAnsi"/>
        </w:rPr>
        <w:t>lethal</w:t>
      </w:r>
      <w:r w:rsidR="00200B0E">
        <w:rPr>
          <w:rFonts w:cstheme="minorHAnsi"/>
        </w:rPr>
        <w:t xml:space="preserve"> concentration </w:t>
      </w:r>
      <w:r w:rsidR="0022107C">
        <w:rPr>
          <w:rFonts w:cstheme="minorHAnsi"/>
        </w:rPr>
        <w:t>(LC50)</w:t>
      </w:r>
      <w:r w:rsidR="00200B0E">
        <w:rPr>
          <w:rFonts w:cstheme="minorHAnsi"/>
        </w:rPr>
        <w:t xml:space="preserve"> converted to </w:t>
      </w:r>
      <w:r w:rsidR="00593C9D">
        <w:rPr>
          <w:rFonts w:cstheme="minorHAnsi"/>
        </w:rPr>
        <w:t>chronic EC10 or NOEL</w:t>
      </w:r>
      <w:r w:rsidR="00D7456C">
        <w:rPr>
          <w:rFonts w:cstheme="minorHAnsi"/>
        </w:rPr>
        <w:t>)</w:t>
      </w:r>
      <w:r w:rsidRPr="00E633CD">
        <w:rPr>
          <w:rFonts w:cstheme="minorHAnsi"/>
        </w:rPr>
        <w:t xml:space="preserve"> for 1</w:t>
      </w:r>
      <w:r w:rsidR="00132C23">
        <w:rPr>
          <w:rFonts w:cstheme="minorHAnsi"/>
        </w:rPr>
        <w:t>4</w:t>
      </w:r>
      <w:r w:rsidR="00400F53">
        <w:rPr>
          <w:rFonts w:cstheme="minorHAnsi"/>
        </w:rPr>
        <w:t> </w:t>
      </w:r>
      <w:r w:rsidRPr="00E633CD">
        <w:rPr>
          <w:rFonts w:cstheme="minorHAnsi"/>
        </w:rPr>
        <w:t>species from seven phyla</w:t>
      </w:r>
      <w:r w:rsidR="00C519A5">
        <w:rPr>
          <w:rFonts w:cstheme="minorHAnsi"/>
        </w:rPr>
        <w:t>,</w:t>
      </w:r>
      <w:r w:rsidRPr="00E633CD">
        <w:rPr>
          <w:rFonts w:cstheme="minorHAnsi"/>
        </w:rPr>
        <w:t xml:space="preserve"> with a good fit of the species sensitivity distribution to the toxicity data. </w:t>
      </w:r>
      <w:r w:rsidR="0097591C">
        <w:rPr>
          <w:rFonts w:cstheme="minorHAnsi"/>
        </w:rPr>
        <w:t>T</w:t>
      </w:r>
      <w:r w:rsidRPr="00E633CD">
        <w:rPr>
          <w:rFonts w:cstheme="minorHAnsi"/>
        </w:rPr>
        <w:t xml:space="preserve">he DGVs </w:t>
      </w:r>
      <w:r w:rsidR="003F584E">
        <w:rPr>
          <w:rFonts w:cstheme="minorHAnsi"/>
        </w:rPr>
        <w:t xml:space="preserve">apply to </w:t>
      </w:r>
      <w:r w:rsidRPr="00E633CD">
        <w:rPr>
          <w:rFonts w:cstheme="minorHAnsi"/>
        </w:rPr>
        <w:t>the active ingredient (simazine) rather than commercial formulations. The DGVs for 99</w:t>
      </w:r>
      <w:r w:rsidR="00400F53">
        <w:rPr>
          <w:rFonts w:cstheme="minorHAnsi"/>
        </w:rPr>
        <w:t>%</w:t>
      </w:r>
      <w:r w:rsidRPr="00E633CD">
        <w:rPr>
          <w:rFonts w:cstheme="minorHAnsi"/>
        </w:rPr>
        <w:t>, 95</w:t>
      </w:r>
      <w:r w:rsidR="00400F53">
        <w:rPr>
          <w:rFonts w:cstheme="minorHAnsi"/>
        </w:rPr>
        <w:t>%</w:t>
      </w:r>
      <w:r w:rsidRPr="00E633CD">
        <w:rPr>
          <w:rFonts w:cstheme="minorHAnsi"/>
        </w:rPr>
        <w:t>, 90</w:t>
      </w:r>
      <w:r w:rsidR="00400F53">
        <w:rPr>
          <w:rFonts w:cstheme="minorHAnsi"/>
        </w:rPr>
        <w:t>%</w:t>
      </w:r>
      <w:r w:rsidRPr="00E633CD">
        <w:rPr>
          <w:rFonts w:cstheme="minorHAnsi"/>
        </w:rPr>
        <w:t xml:space="preserve"> and 80% species protection are 1</w:t>
      </w:r>
      <w:r w:rsidR="00C10075">
        <w:rPr>
          <w:rFonts w:cstheme="minorHAnsi"/>
        </w:rPr>
        <w:t>5</w:t>
      </w:r>
      <w:r w:rsidR="00400F53">
        <w:rPr>
          <w:rFonts w:cstheme="minorHAnsi"/>
        </w:rPr>
        <w:t> </w:t>
      </w:r>
      <w:r w:rsidRPr="00E633CD">
        <w:rPr>
          <w:rFonts w:cstheme="minorHAnsi"/>
        </w:rPr>
        <w:t>µg/L, 3</w:t>
      </w:r>
      <w:r w:rsidR="00C10075">
        <w:rPr>
          <w:rFonts w:cstheme="minorHAnsi"/>
        </w:rPr>
        <w:t>0</w:t>
      </w:r>
      <w:r w:rsidR="00D157B6">
        <w:rPr>
          <w:rFonts w:cstheme="minorHAnsi"/>
        </w:rPr>
        <w:t> </w:t>
      </w:r>
      <w:r w:rsidRPr="00E633CD">
        <w:rPr>
          <w:rFonts w:cstheme="minorHAnsi"/>
        </w:rPr>
        <w:t xml:space="preserve">µg/L, </w:t>
      </w:r>
      <w:r w:rsidR="00193087">
        <w:rPr>
          <w:rFonts w:cstheme="minorHAnsi"/>
        </w:rPr>
        <w:t>47</w:t>
      </w:r>
      <w:r w:rsidR="00D157B6">
        <w:rPr>
          <w:rFonts w:cstheme="minorHAnsi"/>
        </w:rPr>
        <w:t> </w:t>
      </w:r>
      <w:r w:rsidRPr="00E633CD">
        <w:rPr>
          <w:rFonts w:cstheme="minorHAnsi"/>
        </w:rPr>
        <w:t>µg/L and 8</w:t>
      </w:r>
      <w:r w:rsidR="00193087">
        <w:rPr>
          <w:rFonts w:cstheme="minorHAnsi"/>
        </w:rPr>
        <w:t>4</w:t>
      </w:r>
      <w:r w:rsidR="00D157B6">
        <w:rPr>
          <w:rFonts w:cstheme="minorHAnsi"/>
        </w:rPr>
        <w:t> </w:t>
      </w:r>
      <w:r w:rsidRPr="00E633CD">
        <w:rPr>
          <w:rFonts w:cstheme="minorHAnsi"/>
        </w:rPr>
        <w:t xml:space="preserve">µg/L, respectively. The 95% species protection DGV is recommended for application </w:t>
      </w:r>
      <w:r w:rsidR="00026E1D">
        <w:rPr>
          <w:rFonts w:cstheme="minorHAnsi"/>
        </w:rPr>
        <w:t>to</w:t>
      </w:r>
      <w:r w:rsidR="00026E1D" w:rsidRPr="00E633CD">
        <w:rPr>
          <w:rFonts w:cstheme="minorHAnsi"/>
        </w:rPr>
        <w:t xml:space="preserve"> </w:t>
      </w:r>
      <w:r w:rsidRPr="00E633CD">
        <w:rPr>
          <w:rFonts w:cstheme="minorHAnsi"/>
        </w:rPr>
        <w:t>slightly</w:t>
      </w:r>
      <w:r w:rsidR="004D6AA3">
        <w:rPr>
          <w:rFonts w:cstheme="minorHAnsi"/>
        </w:rPr>
        <w:t>-</w:t>
      </w:r>
      <w:r w:rsidRPr="00E633CD">
        <w:rPr>
          <w:rFonts w:cstheme="minorHAnsi"/>
        </w:rPr>
        <w:t>to</w:t>
      </w:r>
      <w:r w:rsidR="004D6AA3">
        <w:rPr>
          <w:rFonts w:cstheme="minorHAnsi"/>
        </w:rPr>
        <w:t>-</w:t>
      </w:r>
      <w:r w:rsidRPr="00E633CD">
        <w:rPr>
          <w:rFonts w:cstheme="minorHAnsi"/>
        </w:rPr>
        <w:t>moderate</w:t>
      </w:r>
      <w:r w:rsidR="004D6AA3">
        <w:rPr>
          <w:rFonts w:cstheme="minorHAnsi"/>
        </w:rPr>
        <w:t>ly</w:t>
      </w:r>
      <w:r w:rsidRPr="00E633CD">
        <w:rPr>
          <w:rFonts w:cstheme="minorHAnsi"/>
        </w:rPr>
        <w:t xml:space="preserve"> disturbed ecosystems.</w:t>
      </w:r>
    </w:p>
    <w:p w14:paraId="7767FF17" w14:textId="77777777" w:rsidR="007C285D" w:rsidRPr="00FD6C22" w:rsidRDefault="007C285D" w:rsidP="000E52A2">
      <w:pPr>
        <w:rPr>
          <w:highlight w:val="cyan"/>
        </w:rPr>
      </w:pPr>
    </w:p>
    <w:p w14:paraId="28BAA1CC" w14:textId="2358DB7C" w:rsidR="004F2FCD" w:rsidRPr="00FD6C22" w:rsidRDefault="004F2FCD" w:rsidP="000E52A2">
      <w:pPr>
        <w:rPr>
          <w:highlight w:val="cyan"/>
        </w:rPr>
        <w:sectPr w:rsidR="004F2FCD" w:rsidRPr="00FD6C2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3" w:gutter="0"/>
          <w:pgNumType w:fmt="lowerRoman"/>
          <w:cols w:space="708"/>
          <w:titlePg/>
          <w:docGrid w:linePitch="360"/>
        </w:sectPr>
      </w:pPr>
    </w:p>
    <w:p w14:paraId="1ADDD7A4" w14:textId="711D0ACB" w:rsidR="001C0D1C" w:rsidRPr="00E633CD" w:rsidRDefault="00BF0280" w:rsidP="0053068D">
      <w:pPr>
        <w:pStyle w:val="Heading2"/>
      </w:pPr>
      <w:bookmarkStart w:id="1" w:name="_Toc189412373"/>
      <w:r w:rsidRPr="00E633CD">
        <w:lastRenderedPageBreak/>
        <w:t>Introduction</w:t>
      </w:r>
      <w:bookmarkEnd w:id="1"/>
    </w:p>
    <w:p w14:paraId="4C625F39" w14:textId="3D94F5C4" w:rsidR="00E633CD" w:rsidRDefault="00E633CD" w:rsidP="000E52A2">
      <w:r>
        <w:t>S</w:t>
      </w:r>
      <w:r w:rsidRPr="00E633CD">
        <w:t>imazine is a triazine herbicide (C</w:t>
      </w:r>
      <w:r w:rsidRPr="007E5D10">
        <w:rPr>
          <w:vertAlign w:val="subscript"/>
        </w:rPr>
        <w:t>7</w:t>
      </w:r>
      <w:r w:rsidRPr="00E633CD">
        <w:t>H</w:t>
      </w:r>
      <w:r w:rsidRPr="007E5D10">
        <w:rPr>
          <w:vertAlign w:val="subscript"/>
        </w:rPr>
        <w:t>12</w:t>
      </w:r>
      <w:r w:rsidRPr="00E633CD">
        <w:t>ClN</w:t>
      </w:r>
      <w:r w:rsidRPr="007E5D10">
        <w:rPr>
          <w:vertAlign w:val="subscript"/>
        </w:rPr>
        <w:t>5</w:t>
      </w:r>
      <w:r w:rsidRPr="00E633CD">
        <w:t xml:space="preserve">) </w:t>
      </w:r>
      <w:r w:rsidR="00AA7A68">
        <w:t>(</w:t>
      </w:r>
      <w:r w:rsidR="00367621">
        <w:fldChar w:fldCharType="begin"/>
      </w:r>
      <w:r w:rsidR="00367621">
        <w:instrText xml:space="preserve"> REF _Ref185510078 \h </w:instrText>
      </w:r>
      <w:r w:rsidR="00367621">
        <w:fldChar w:fldCharType="separate"/>
      </w:r>
      <w:r w:rsidR="00E74306">
        <w:t>Figure </w:t>
      </w:r>
      <w:r w:rsidR="00E74306">
        <w:rPr>
          <w:noProof/>
        </w:rPr>
        <w:t>1</w:t>
      </w:r>
      <w:r w:rsidR="00367621">
        <w:fldChar w:fldCharType="end"/>
      </w:r>
      <w:r w:rsidR="00AA7A68">
        <w:t>)</w:t>
      </w:r>
      <w:r w:rsidRPr="00E633CD">
        <w:t>. It is the active ingredient of a variety of commercial herbicide formulations. Simazine is often mixed with other herbicides (e.g. ametryn, atrazine, diuron, metolachlor and paraquat) to increase its efficacy. Physico</w:t>
      </w:r>
      <w:r w:rsidR="00AA7A68">
        <w:t>-</w:t>
      </w:r>
      <w:r w:rsidRPr="00E633CD">
        <w:t xml:space="preserve">chemical properties of simazine that may affect its environmental fate and toxicity are presented in </w:t>
      </w:r>
      <w:r w:rsidR="00A40326">
        <w:fldChar w:fldCharType="begin"/>
      </w:r>
      <w:r w:rsidR="00A40326">
        <w:instrText xml:space="preserve"> REF _Ref185509866 \h </w:instrText>
      </w:r>
      <w:r w:rsidR="00A40326">
        <w:fldChar w:fldCharType="separate"/>
      </w:r>
      <w:r w:rsidR="00E74306">
        <w:t>Table </w:t>
      </w:r>
      <w:r w:rsidR="00E74306">
        <w:rPr>
          <w:noProof/>
        </w:rPr>
        <w:t>1</w:t>
      </w:r>
      <w:r w:rsidR="00A40326">
        <w:fldChar w:fldCharType="end"/>
      </w:r>
      <w:r w:rsidRPr="00E633CD">
        <w:t>.</w:t>
      </w:r>
    </w:p>
    <w:p w14:paraId="4AD45AC7" w14:textId="4CE623AB" w:rsidR="00E633CD" w:rsidRDefault="00E633CD" w:rsidP="000E52A2">
      <w:pPr>
        <w:rPr>
          <w:highlight w:val="cyan"/>
        </w:rPr>
      </w:pPr>
      <w:r w:rsidRPr="00A372D1">
        <w:rPr>
          <w:bCs/>
          <w:noProof/>
          <w:lang w:eastAsia="en-AU"/>
        </w:rPr>
        <w:drawing>
          <wp:inline distT="0" distB="0" distL="0" distR="0" wp14:anchorId="5DF6EF2F" wp14:editId="31A0287A">
            <wp:extent cx="2095500" cy="1110532"/>
            <wp:effectExtent l="0" t="0" r="0" b="0"/>
            <wp:docPr id="6" name="Picture 6" descr="Diagram displays the chemical structure of sim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displays the chemical structure of simazine."/>
                    <pic:cNvPicPr>
                      <a:picLocks noChangeAspect="1" noChangeArrowheads="1"/>
                    </pic:cNvPicPr>
                  </pic:nvPicPr>
                  <pic:blipFill rotWithShape="1">
                    <a:blip r:embed="rId26">
                      <a:extLst>
                        <a:ext uri="{28A0092B-C50C-407E-A947-70E740481C1C}">
                          <a14:useLocalDpi xmlns:a14="http://schemas.microsoft.com/office/drawing/2010/main" val="0"/>
                        </a:ext>
                      </a:extLst>
                    </a:blip>
                    <a:srcRect l="6102" t="8784" r="6120" b="9716"/>
                    <a:stretch/>
                  </pic:blipFill>
                  <pic:spPr bwMode="auto">
                    <a:xfrm>
                      <a:off x="0" y="0"/>
                      <a:ext cx="2098662" cy="1112208"/>
                    </a:xfrm>
                    <a:prstGeom prst="rect">
                      <a:avLst/>
                    </a:prstGeom>
                    <a:noFill/>
                    <a:ln>
                      <a:noFill/>
                    </a:ln>
                    <a:extLst>
                      <a:ext uri="{53640926-AAD7-44D8-BBD7-CCE9431645EC}">
                        <a14:shadowObscured xmlns:a14="http://schemas.microsoft.com/office/drawing/2010/main"/>
                      </a:ext>
                    </a:extLst>
                  </pic:spPr>
                </pic:pic>
              </a:graphicData>
            </a:graphic>
          </wp:inline>
        </w:drawing>
      </w:r>
    </w:p>
    <w:p w14:paraId="7CB55807" w14:textId="68C8FBE4" w:rsidR="00E633CD" w:rsidRDefault="005361C1" w:rsidP="005361C1">
      <w:pPr>
        <w:pStyle w:val="Caption"/>
      </w:pPr>
      <w:bookmarkStart w:id="2" w:name="_Ref185510078"/>
      <w:bookmarkStart w:id="3" w:name="_Toc189412388"/>
      <w:r>
        <w:t>Figure </w:t>
      </w:r>
      <w:r w:rsidR="00D7456C">
        <w:fldChar w:fldCharType="begin"/>
      </w:r>
      <w:r w:rsidR="00D7456C">
        <w:instrText xml:space="preserve"> SEQ Figure \* ARABIC </w:instrText>
      </w:r>
      <w:r w:rsidR="00D7456C">
        <w:fldChar w:fldCharType="separate"/>
      </w:r>
      <w:r w:rsidR="00E74306">
        <w:rPr>
          <w:noProof/>
        </w:rPr>
        <w:t>1</w:t>
      </w:r>
      <w:r w:rsidR="00D7456C">
        <w:rPr>
          <w:noProof/>
        </w:rPr>
        <w:fldChar w:fldCharType="end"/>
      </w:r>
      <w:bookmarkEnd w:id="2"/>
      <w:r w:rsidR="00E633CD">
        <w:t xml:space="preserve"> Structure of simazine</w:t>
      </w:r>
      <w:bookmarkEnd w:id="3"/>
    </w:p>
    <w:p w14:paraId="588ECE59" w14:textId="242E8A98" w:rsidR="00E633CD" w:rsidRDefault="005361C1" w:rsidP="005361C1">
      <w:pPr>
        <w:pStyle w:val="Caption"/>
        <w:rPr>
          <w:highlight w:val="cyan"/>
        </w:rPr>
      </w:pPr>
      <w:bookmarkStart w:id="4" w:name="_Ref185509866"/>
      <w:bookmarkStart w:id="5" w:name="_Toc189412390"/>
      <w:r>
        <w:t>Table </w:t>
      </w:r>
      <w:r w:rsidR="00D7456C">
        <w:fldChar w:fldCharType="begin"/>
      </w:r>
      <w:r w:rsidR="00D7456C">
        <w:instrText xml:space="preserve"> SEQ Table \* ARABIC </w:instrText>
      </w:r>
      <w:r w:rsidR="00D7456C">
        <w:fldChar w:fldCharType="separate"/>
      </w:r>
      <w:r w:rsidR="00E74306">
        <w:rPr>
          <w:noProof/>
        </w:rPr>
        <w:t>1</w:t>
      </w:r>
      <w:r w:rsidR="00D7456C">
        <w:rPr>
          <w:noProof/>
        </w:rPr>
        <w:fldChar w:fldCharType="end"/>
      </w:r>
      <w:bookmarkEnd w:id="4"/>
      <w:r w:rsidR="00E633CD">
        <w:t xml:space="preserve"> Summary</w:t>
      </w:r>
      <w:r w:rsidR="00C408F5">
        <w:t>,</w:t>
      </w:r>
      <w:r w:rsidR="00E633CD">
        <w:t xml:space="preserve"> selected </w:t>
      </w:r>
      <w:proofErr w:type="spellStart"/>
      <w:r w:rsidR="00E633CD">
        <w:t>physico</w:t>
      </w:r>
      <w:proofErr w:type="spellEnd"/>
      <w:r w:rsidR="00C408F5">
        <w:t>-</w:t>
      </w:r>
      <w:r w:rsidR="00E633CD">
        <w:t>chemical properties of simazine</w:t>
      </w:r>
      <w:bookmarkEnd w:id="5"/>
    </w:p>
    <w:tbl>
      <w:tblPr>
        <w:tblW w:w="5000" w:type="pct"/>
        <w:tblBorders>
          <w:top w:val="single" w:sz="4" w:space="0" w:color="auto"/>
          <w:bottom w:val="single" w:sz="4" w:space="0" w:color="auto"/>
          <w:insideH w:val="single" w:sz="4" w:space="0" w:color="auto"/>
        </w:tblBorders>
        <w:tblLook w:val="0400" w:firstRow="0" w:lastRow="0" w:firstColumn="0" w:lastColumn="0" w:noHBand="0" w:noVBand="1"/>
        <w:tblCaption w:val="Summary, selected physico-chemical properties of simazine"/>
        <w:tblDescription w:val="Table shows the physico-chemical properties (molecular weight, aqueous solubility, octanol-water partition coefficient, organic carbon water partition coefficient, bioconcentration factor, half-life in water, and half-life in soil) of simazine against their corresponding values."/>
      </w:tblPr>
      <w:tblGrid>
        <w:gridCol w:w="3969"/>
        <w:gridCol w:w="5101"/>
      </w:tblGrid>
      <w:tr w:rsidR="00E633CD" w14:paraId="1BA520B9" w14:textId="77777777" w:rsidTr="000863DF">
        <w:tc>
          <w:tcPr>
            <w:tcW w:w="2188" w:type="pct"/>
            <w:tcBorders>
              <w:top w:val="single" w:sz="12" w:space="0" w:color="auto"/>
              <w:bottom w:val="single" w:sz="12" w:space="0" w:color="auto"/>
            </w:tcBorders>
            <w:shd w:val="clear" w:color="auto" w:fill="auto"/>
          </w:tcPr>
          <w:p w14:paraId="36501194" w14:textId="40173CEE" w:rsidR="00E633CD" w:rsidRDefault="00E633CD" w:rsidP="005025EA">
            <w:pPr>
              <w:pStyle w:val="TableHeading"/>
            </w:pPr>
            <w:r>
              <w:t>Physico</w:t>
            </w:r>
            <w:r w:rsidR="00AA7A68">
              <w:t>-</w:t>
            </w:r>
            <w:r>
              <w:t>chemical property</w:t>
            </w:r>
          </w:p>
        </w:tc>
        <w:tc>
          <w:tcPr>
            <w:tcW w:w="2812" w:type="pct"/>
            <w:tcBorders>
              <w:top w:val="single" w:sz="12" w:space="0" w:color="auto"/>
              <w:bottom w:val="single" w:sz="12" w:space="0" w:color="auto"/>
            </w:tcBorders>
            <w:shd w:val="clear" w:color="auto" w:fill="auto"/>
          </w:tcPr>
          <w:p w14:paraId="38BF3D72" w14:textId="77777777" w:rsidR="00E633CD" w:rsidRDefault="00E633CD" w:rsidP="005025EA">
            <w:pPr>
              <w:pStyle w:val="TableHeading"/>
            </w:pPr>
            <w:r>
              <w:t>Value</w:t>
            </w:r>
          </w:p>
        </w:tc>
      </w:tr>
      <w:tr w:rsidR="00E633CD" w14:paraId="599BE3C8" w14:textId="77777777" w:rsidTr="000863DF">
        <w:tc>
          <w:tcPr>
            <w:tcW w:w="2188" w:type="pct"/>
            <w:tcBorders>
              <w:top w:val="single" w:sz="12" w:space="0" w:color="auto"/>
            </w:tcBorders>
            <w:shd w:val="clear" w:color="auto" w:fill="auto"/>
            <w:vAlign w:val="center"/>
          </w:tcPr>
          <w:p w14:paraId="28E518AC" w14:textId="77777777" w:rsidR="00E633CD" w:rsidRDefault="00E633CD" w:rsidP="005025EA">
            <w:pPr>
              <w:pStyle w:val="TableText"/>
            </w:pPr>
            <w:r>
              <w:t>Molecular weight</w:t>
            </w:r>
          </w:p>
        </w:tc>
        <w:tc>
          <w:tcPr>
            <w:tcW w:w="2812" w:type="pct"/>
            <w:tcBorders>
              <w:top w:val="single" w:sz="12" w:space="0" w:color="auto"/>
            </w:tcBorders>
            <w:shd w:val="clear" w:color="auto" w:fill="auto"/>
          </w:tcPr>
          <w:p w14:paraId="77F0528D" w14:textId="6C0858F1" w:rsidR="00E633CD" w:rsidRPr="00CB708A" w:rsidRDefault="00E633CD" w:rsidP="005025EA">
            <w:pPr>
              <w:pStyle w:val="TableText"/>
              <w:rPr>
                <w:highlight w:val="yellow"/>
              </w:rPr>
            </w:pPr>
            <w:r w:rsidRPr="00CB708A">
              <w:rPr>
                <w:rFonts w:cs="Arial"/>
              </w:rPr>
              <w:t>201.7 amu</w:t>
            </w:r>
            <w:r w:rsidR="00E753CF">
              <w:rPr>
                <w:rFonts w:cs="Arial"/>
              </w:rPr>
              <w:t xml:space="preserve"> </w:t>
            </w:r>
            <w:r w:rsidR="00E753CF" w:rsidRPr="009704D2">
              <w:rPr>
                <w:rStyle w:val="Strong"/>
                <w:vertAlign w:val="superscript"/>
              </w:rPr>
              <w:t>a</w:t>
            </w:r>
          </w:p>
        </w:tc>
      </w:tr>
      <w:tr w:rsidR="00E633CD" w14:paraId="2ADB71F0" w14:textId="77777777" w:rsidTr="000863DF">
        <w:tc>
          <w:tcPr>
            <w:tcW w:w="2188" w:type="pct"/>
            <w:shd w:val="clear" w:color="auto" w:fill="auto"/>
            <w:vAlign w:val="center"/>
          </w:tcPr>
          <w:p w14:paraId="4C7E5389" w14:textId="77777777" w:rsidR="00E633CD" w:rsidRDefault="00E633CD" w:rsidP="005025EA">
            <w:pPr>
              <w:pStyle w:val="TableText"/>
            </w:pPr>
            <w:r>
              <w:t>Aqueous solubility</w:t>
            </w:r>
          </w:p>
        </w:tc>
        <w:tc>
          <w:tcPr>
            <w:tcW w:w="2812" w:type="pct"/>
            <w:shd w:val="clear" w:color="auto" w:fill="auto"/>
          </w:tcPr>
          <w:p w14:paraId="77D3905A" w14:textId="2172550C" w:rsidR="005025EA" w:rsidRDefault="00E633CD" w:rsidP="005025EA">
            <w:pPr>
              <w:pStyle w:val="TableText"/>
              <w:rPr>
                <w:rFonts w:cs="Arial"/>
                <w:vertAlign w:val="superscript"/>
              </w:rPr>
            </w:pPr>
            <w:r w:rsidRPr="00CB708A">
              <w:rPr>
                <w:rFonts w:cs="Arial"/>
              </w:rPr>
              <w:t>6.2</w:t>
            </w:r>
            <w:r w:rsidR="005025EA">
              <w:rPr>
                <w:rFonts w:cs="Arial"/>
              </w:rPr>
              <w:t> </w:t>
            </w:r>
            <w:r w:rsidRPr="00CB708A">
              <w:rPr>
                <w:rFonts w:cs="Arial"/>
              </w:rPr>
              <w:t xml:space="preserve">mg/L </w:t>
            </w:r>
            <w:r w:rsidR="00DF7D7C">
              <w:rPr>
                <w:rFonts w:cs="Arial"/>
              </w:rPr>
              <w:t>at</w:t>
            </w:r>
            <w:r w:rsidRPr="00CB708A">
              <w:rPr>
                <w:rFonts w:cs="Arial"/>
              </w:rPr>
              <w:t xml:space="preserve"> pH</w:t>
            </w:r>
            <w:r w:rsidR="005025EA">
              <w:rPr>
                <w:rFonts w:cs="Arial"/>
              </w:rPr>
              <w:t> </w:t>
            </w:r>
            <w:r w:rsidRPr="00CB708A">
              <w:rPr>
                <w:rFonts w:cs="Arial"/>
              </w:rPr>
              <w:t>7 and 22</w:t>
            </w:r>
            <w:r w:rsidR="00CC7FB3">
              <w:rPr>
                <w:rFonts w:cs="Arial"/>
              </w:rPr>
              <w:t>°</w:t>
            </w:r>
            <w:r w:rsidRPr="00CB708A">
              <w:rPr>
                <w:rFonts w:cs="Arial"/>
              </w:rPr>
              <w:t>C</w:t>
            </w:r>
            <w:r w:rsidR="00E753CF">
              <w:rPr>
                <w:rFonts w:cs="Arial"/>
              </w:rPr>
              <w:t xml:space="preserve"> </w:t>
            </w:r>
            <w:r w:rsidR="00E753CF" w:rsidRPr="009704D2">
              <w:rPr>
                <w:rStyle w:val="Strong"/>
                <w:vertAlign w:val="superscript"/>
              </w:rPr>
              <w:t>a</w:t>
            </w:r>
          </w:p>
          <w:p w14:paraId="25578D7B" w14:textId="2D88BB23" w:rsidR="00E633CD" w:rsidRPr="00CB708A" w:rsidRDefault="00E633CD" w:rsidP="005025EA">
            <w:pPr>
              <w:pStyle w:val="TableText"/>
              <w:rPr>
                <w:highlight w:val="yellow"/>
              </w:rPr>
            </w:pPr>
            <w:r w:rsidRPr="00CB708A">
              <w:rPr>
                <w:rFonts w:cs="Arial"/>
              </w:rPr>
              <w:t>5</w:t>
            </w:r>
            <w:r w:rsidR="005025EA">
              <w:rPr>
                <w:rFonts w:cs="Arial"/>
              </w:rPr>
              <w:t> </w:t>
            </w:r>
            <w:r w:rsidRPr="00CB708A">
              <w:rPr>
                <w:rFonts w:cs="Arial"/>
              </w:rPr>
              <w:t xml:space="preserve">mg/L </w:t>
            </w:r>
            <w:r w:rsidR="00DF7D7C">
              <w:rPr>
                <w:rFonts w:cs="Arial"/>
              </w:rPr>
              <w:t>at</w:t>
            </w:r>
            <w:r w:rsidRPr="00CB708A">
              <w:rPr>
                <w:rFonts w:cs="Arial"/>
              </w:rPr>
              <w:t xml:space="preserve"> 20</w:t>
            </w:r>
            <w:r w:rsidR="00CC7FB3">
              <w:rPr>
                <w:rFonts w:cs="Arial"/>
              </w:rPr>
              <w:t>°</w:t>
            </w:r>
            <w:r w:rsidRPr="00CB708A">
              <w:rPr>
                <w:rFonts w:cs="Arial"/>
              </w:rPr>
              <w:t>C</w:t>
            </w:r>
            <w:r w:rsidR="00E753CF">
              <w:rPr>
                <w:rFonts w:cs="Arial"/>
              </w:rPr>
              <w:t xml:space="preserve"> </w:t>
            </w:r>
            <w:r w:rsidR="00E753CF" w:rsidRPr="009704D2">
              <w:rPr>
                <w:rStyle w:val="Strong"/>
                <w:vertAlign w:val="superscript"/>
              </w:rPr>
              <w:t>b</w:t>
            </w:r>
          </w:p>
        </w:tc>
      </w:tr>
      <w:tr w:rsidR="00E633CD" w14:paraId="0518490C" w14:textId="77777777" w:rsidTr="000863DF">
        <w:tc>
          <w:tcPr>
            <w:tcW w:w="2188" w:type="pct"/>
            <w:shd w:val="clear" w:color="auto" w:fill="auto"/>
            <w:vAlign w:val="center"/>
          </w:tcPr>
          <w:p w14:paraId="3FAEDE40" w14:textId="4704C58D" w:rsidR="00E633CD" w:rsidRDefault="00E633CD" w:rsidP="005025EA">
            <w:pPr>
              <w:pStyle w:val="TableText"/>
            </w:pPr>
            <w:r>
              <w:t>Logarithm of the octanol-water partition coefficient (log</w:t>
            </w:r>
            <w:r w:rsidR="00BF628C">
              <w:t> </w:t>
            </w:r>
            <w:proofErr w:type="spellStart"/>
            <w:r>
              <w:t>K</w:t>
            </w:r>
            <w:r>
              <w:rPr>
                <w:vertAlign w:val="subscript"/>
              </w:rPr>
              <w:t>ow</w:t>
            </w:r>
            <w:proofErr w:type="spellEnd"/>
            <w:r>
              <w:t>)</w:t>
            </w:r>
          </w:p>
        </w:tc>
        <w:tc>
          <w:tcPr>
            <w:tcW w:w="2812" w:type="pct"/>
            <w:shd w:val="clear" w:color="auto" w:fill="auto"/>
          </w:tcPr>
          <w:p w14:paraId="7ABDC0F1" w14:textId="537E2C96" w:rsidR="005025EA" w:rsidRDefault="00E633CD" w:rsidP="005025EA">
            <w:pPr>
              <w:pStyle w:val="TableText"/>
              <w:rPr>
                <w:rFonts w:cs="Arial"/>
                <w:vertAlign w:val="superscript"/>
              </w:rPr>
            </w:pPr>
            <w:r w:rsidRPr="00CB708A">
              <w:rPr>
                <w:rFonts w:cs="Arial"/>
              </w:rPr>
              <w:t>2.1</w:t>
            </w:r>
            <w:r w:rsidR="00E753CF">
              <w:rPr>
                <w:rFonts w:cs="Arial"/>
              </w:rPr>
              <w:t xml:space="preserve"> </w:t>
            </w:r>
            <w:r w:rsidR="00E753CF" w:rsidRPr="009704D2">
              <w:rPr>
                <w:rStyle w:val="Strong"/>
                <w:vertAlign w:val="superscript"/>
              </w:rPr>
              <w:t>a</w:t>
            </w:r>
          </w:p>
          <w:p w14:paraId="329123D4" w14:textId="58555CC1" w:rsidR="00E633CD" w:rsidRPr="00CB708A" w:rsidRDefault="00E633CD" w:rsidP="005025EA">
            <w:pPr>
              <w:pStyle w:val="TableText"/>
              <w:rPr>
                <w:vertAlign w:val="superscript"/>
              </w:rPr>
            </w:pPr>
            <w:r w:rsidRPr="00CB708A">
              <w:rPr>
                <w:rFonts w:cs="Arial"/>
              </w:rPr>
              <w:t xml:space="preserve">2.3 </w:t>
            </w:r>
            <w:r w:rsidR="00DF7D7C">
              <w:rPr>
                <w:rFonts w:cs="Arial"/>
              </w:rPr>
              <w:t>at</w:t>
            </w:r>
            <w:r w:rsidRPr="00CB708A">
              <w:rPr>
                <w:rFonts w:cs="Arial"/>
              </w:rPr>
              <w:t xml:space="preserve"> pH</w:t>
            </w:r>
            <w:r w:rsidR="00DF7D7C">
              <w:rPr>
                <w:rFonts w:cs="Arial"/>
              </w:rPr>
              <w:t> </w:t>
            </w:r>
            <w:r w:rsidRPr="00CB708A">
              <w:rPr>
                <w:rFonts w:cs="Arial"/>
              </w:rPr>
              <w:t>7 20</w:t>
            </w:r>
            <w:r w:rsidR="00CC7FB3">
              <w:rPr>
                <w:rFonts w:cs="Arial"/>
              </w:rPr>
              <w:t>°</w:t>
            </w:r>
            <w:r w:rsidRPr="00CB708A">
              <w:rPr>
                <w:rFonts w:cs="Arial"/>
              </w:rPr>
              <w:t>C</w:t>
            </w:r>
            <w:r w:rsidR="00E753CF">
              <w:rPr>
                <w:rFonts w:cs="Arial"/>
              </w:rPr>
              <w:t xml:space="preserve"> </w:t>
            </w:r>
            <w:r w:rsidR="00E753CF" w:rsidRPr="009704D2">
              <w:rPr>
                <w:rStyle w:val="Strong"/>
                <w:vertAlign w:val="superscript"/>
              </w:rPr>
              <w:t>b</w:t>
            </w:r>
          </w:p>
        </w:tc>
      </w:tr>
      <w:tr w:rsidR="00E633CD" w14:paraId="46416E34" w14:textId="77777777" w:rsidTr="000863DF">
        <w:tc>
          <w:tcPr>
            <w:tcW w:w="2188" w:type="pct"/>
            <w:shd w:val="clear" w:color="auto" w:fill="auto"/>
            <w:vAlign w:val="center"/>
          </w:tcPr>
          <w:p w14:paraId="0FB6FA59" w14:textId="44CD9400" w:rsidR="00E633CD" w:rsidRDefault="00E633CD" w:rsidP="005025EA">
            <w:pPr>
              <w:pStyle w:val="TableText"/>
            </w:pPr>
            <w:r>
              <w:t>Logarithm of the organic carbon water partition coefficient (log</w:t>
            </w:r>
            <w:r w:rsidR="00BF628C">
              <w:t> </w:t>
            </w:r>
            <w:r>
              <w:t>K</w:t>
            </w:r>
            <w:r>
              <w:rPr>
                <w:vertAlign w:val="subscript"/>
              </w:rPr>
              <w:t>oc</w:t>
            </w:r>
            <w:r>
              <w:t>)</w:t>
            </w:r>
          </w:p>
        </w:tc>
        <w:tc>
          <w:tcPr>
            <w:tcW w:w="2812" w:type="pct"/>
            <w:shd w:val="clear" w:color="auto" w:fill="auto"/>
          </w:tcPr>
          <w:p w14:paraId="04347C08" w14:textId="2CDF8A4B" w:rsidR="005025EA" w:rsidRDefault="00E633CD" w:rsidP="005025EA">
            <w:pPr>
              <w:pStyle w:val="TableText"/>
              <w:rPr>
                <w:rFonts w:cs="Arial"/>
                <w:vertAlign w:val="superscript"/>
              </w:rPr>
            </w:pPr>
            <w:r w:rsidRPr="00CB708A">
              <w:rPr>
                <w:rFonts w:cs="Arial"/>
              </w:rPr>
              <w:t>2.20</w:t>
            </w:r>
            <w:r w:rsidR="00E753CF">
              <w:rPr>
                <w:rFonts w:cs="Arial"/>
              </w:rPr>
              <w:t xml:space="preserve"> </w:t>
            </w:r>
            <w:r w:rsidR="00E753CF" w:rsidRPr="009704D2">
              <w:rPr>
                <w:rStyle w:val="Strong"/>
                <w:vertAlign w:val="superscript"/>
              </w:rPr>
              <w:t>a</w:t>
            </w:r>
          </w:p>
          <w:p w14:paraId="79AEE984" w14:textId="34E87D23" w:rsidR="00E633CD" w:rsidRPr="00CB708A" w:rsidRDefault="00E633CD" w:rsidP="005025EA">
            <w:pPr>
              <w:pStyle w:val="TableText"/>
              <w:rPr>
                <w:highlight w:val="yellow"/>
              </w:rPr>
            </w:pPr>
            <w:r w:rsidRPr="00CB708A">
              <w:rPr>
                <w:rFonts w:cs="Arial"/>
              </w:rPr>
              <w:t xml:space="preserve">2.14 </w:t>
            </w:r>
            <w:r w:rsidR="00DF7D7C">
              <w:rPr>
                <w:rFonts w:cs="Arial"/>
              </w:rPr>
              <w:t>at</w:t>
            </w:r>
            <w:r w:rsidRPr="00CB708A">
              <w:rPr>
                <w:rFonts w:cs="Arial"/>
              </w:rPr>
              <w:t xml:space="preserve"> 25</w:t>
            </w:r>
            <w:r w:rsidR="00CC7FB3">
              <w:rPr>
                <w:rFonts w:cs="Arial"/>
              </w:rPr>
              <w:t>°</w:t>
            </w:r>
            <w:r w:rsidRPr="00CB708A">
              <w:rPr>
                <w:rFonts w:cs="Arial"/>
              </w:rPr>
              <w:t>C</w:t>
            </w:r>
            <w:r w:rsidR="00E753CF">
              <w:rPr>
                <w:rFonts w:cs="Arial"/>
              </w:rPr>
              <w:t xml:space="preserve"> </w:t>
            </w:r>
            <w:r w:rsidR="00E753CF" w:rsidRPr="009704D2">
              <w:rPr>
                <w:rStyle w:val="Strong"/>
                <w:vertAlign w:val="superscript"/>
              </w:rPr>
              <w:t>b</w:t>
            </w:r>
          </w:p>
        </w:tc>
      </w:tr>
      <w:tr w:rsidR="00E633CD" w14:paraId="47266A1C" w14:textId="77777777" w:rsidTr="000863DF">
        <w:trPr>
          <w:trHeight w:val="280"/>
        </w:trPr>
        <w:tc>
          <w:tcPr>
            <w:tcW w:w="2188" w:type="pct"/>
            <w:shd w:val="clear" w:color="auto" w:fill="auto"/>
            <w:vAlign w:val="center"/>
          </w:tcPr>
          <w:p w14:paraId="572DA777" w14:textId="77777777" w:rsidR="00E633CD" w:rsidRDefault="00E633CD" w:rsidP="005025EA">
            <w:pPr>
              <w:pStyle w:val="TableText"/>
            </w:pPr>
            <w:r>
              <w:t>Logarithm of the bioconcentration factor (log BCF)</w:t>
            </w:r>
          </w:p>
        </w:tc>
        <w:tc>
          <w:tcPr>
            <w:tcW w:w="2812" w:type="pct"/>
            <w:shd w:val="clear" w:color="auto" w:fill="auto"/>
          </w:tcPr>
          <w:p w14:paraId="7593E341" w14:textId="586085E5" w:rsidR="005025EA" w:rsidRDefault="00E633CD" w:rsidP="005025EA">
            <w:pPr>
              <w:pStyle w:val="TableText"/>
              <w:rPr>
                <w:rFonts w:cs="Arial"/>
                <w:vertAlign w:val="superscript"/>
              </w:rPr>
            </w:pPr>
            <w:r w:rsidRPr="00CB708A">
              <w:rPr>
                <w:rFonts w:cs="Arial"/>
              </w:rPr>
              <w:t>2.34</w:t>
            </w:r>
            <w:r w:rsidR="00E753CF">
              <w:rPr>
                <w:rFonts w:cs="Arial"/>
              </w:rPr>
              <w:t xml:space="preserve"> </w:t>
            </w:r>
            <w:r w:rsidR="00E753CF" w:rsidRPr="009704D2">
              <w:rPr>
                <w:rStyle w:val="Strong"/>
                <w:vertAlign w:val="superscript"/>
              </w:rPr>
              <w:t>b</w:t>
            </w:r>
          </w:p>
          <w:p w14:paraId="0D7E73A0" w14:textId="09FD78D0" w:rsidR="00E633CD" w:rsidRPr="00CB708A" w:rsidRDefault="00E633CD" w:rsidP="005025EA">
            <w:pPr>
              <w:pStyle w:val="TableText"/>
            </w:pPr>
            <w:r w:rsidRPr="00CB708A">
              <w:rPr>
                <w:rFonts w:cs="Arial"/>
              </w:rPr>
              <w:t>&lt;2.0</w:t>
            </w:r>
            <w:r w:rsidR="00E753CF">
              <w:rPr>
                <w:rFonts w:cs="Arial"/>
              </w:rPr>
              <w:t xml:space="preserve"> </w:t>
            </w:r>
            <w:r w:rsidR="00E753CF" w:rsidRPr="009704D2">
              <w:rPr>
                <w:rStyle w:val="Strong"/>
                <w:vertAlign w:val="superscript"/>
              </w:rPr>
              <w:t>c</w:t>
            </w:r>
          </w:p>
        </w:tc>
      </w:tr>
      <w:tr w:rsidR="00E633CD" w14:paraId="4A37F638" w14:textId="77777777" w:rsidTr="000863DF">
        <w:trPr>
          <w:trHeight w:val="489"/>
        </w:trPr>
        <w:tc>
          <w:tcPr>
            <w:tcW w:w="2188" w:type="pct"/>
            <w:tcBorders>
              <w:bottom w:val="single" w:sz="4" w:space="0" w:color="auto"/>
            </w:tcBorders>
            <w:shd w:val="clear" w:color="auto" w:fill="auto"/>
            <w:vAlign w:val="center"/>
          </w:tcPr>
          <w:p w14:paraId="27C19BB9" w14:textId="77777777" w:rsidR="00E633CD" w:rsidRDefault="00E633CD" w:rsidP="005025EA">
            <w:pPr>
              <w:pStyle w:val="TableText"/>
            </w:pPr>
            <w:r>
              <w:t>Half-life in water (t</w:t>
            </w:r>
            <w:r>
              <w:rPr>
                <w:vertAlign w:val="subscript"/>
              </w:rPr>
              <w:t>1/2</w:t>
            </w:r>
            <w:r>
              <w:t>)</w:t>
            </w:r>
          </w:p>
        </w:tc>
        <w:tc>
          <w:tcPr>
            <w:tcW w:w="2812" w:type="pct"/>
            <w:tcBorders>
              <w:bottom w:val="single" w:sz="4" w:space="0" w:color="auto"/>
            </w:tcBorders>
            <w:shd w:val="clear" w:color="auto" w:fill="auto"/>
          </w:tcPr>
          <w:p w14:paraId="75FCC203" w14:textId="57D7DF36" w:rsidR="005025EA" w:rsidRPr="009704D2" w:rsidRDefault="00E633CD" w:rsidP="005025EA">
            <w:pPr>
              <w:pStyle w:val="TableText"/>
              <w:rPr>
                <w:rFonts w:cstheme="minorHAnsi"/>
                <w:vertAlign w:val="superscript"/>
              </w:rPr>
            </w:pPr>
            <w:r w:rsidRPr="00CB708A">
              <w:rPr>
                <w:rFonts w:cstheme="minorHAnsi"/>
              </w:rPr>
              <w:t>Freshwater: 8.8</w:t>
            </w:r>
            <w:r w:rsidR="005025EA">
              <w:rPr>
                <w:rFonts w:cstheme="minorHAnsi"/>
              </w:rPr>
              <w:t> </w:t>
            </w:r>
            <w:r w:rsidRPr="00CB708A">
              <w:rPr>
                <w:rFonts w:cstheme="minorHAnsi"/>
              </w:rPr>
              <w:t xml:space="preserve">d </w:t>
            </w:r>
            <w:r w:rsidR="00E67F1F">
              <w:rPr>
                <w:rFonts w:cstheme="minorHAnsi"/>
              </w:rPr>
              <w:t xml:space="preserve">at </w:t>
            </w:r>
            <w:r w:rsidRPr="00CB708A">
              <w:rPr>
                <w:rFonts w:cstheme="minorHAnsi"/>
              </w:rPr>
              <w:t>pH</w:t>
            </w:r>
            <w:r w:rsidR="005025EA">
              <w:rPr>
                <w:rFonts w:cstheme="minorHAnsi"/>
              </w:rPr>
              <w:t> </w:t>
            </w:r>
            <w:r w:rsidRPr="00CB708A">
              <w:rPr>
                <w:rFonts w:cstheme="minorHAnsi"/>
              </w:rPr>
              <w:t>1, 96</w:t>
            </w:r>
            <w:r w:rsidR="005025EA">
              <w:rPr>
                <w:rFonts w:cstheme="minorHAnsi"/>
              </w:rPr>
              <w:t> </w:t>
            </w:r>
            <w:r w:rsidRPr="00CB708A">
              <w:rPr>
                <w:rFonts w:cstheme="minorHAnsi"/>
              </w:rPr>
              <w:t xml:space="preserve">d </w:t>
            </w:r>
            <w:r w:rsidR="00E67F1F">
              <w:rPr>
                <w:rFonts w:cstheme="minorHAnsi"/>
              </w:rPr>
              <w:t xml:space="preserve">at </w:t>
            </w:r>
            <w:r w:rsidRPr="00CB708A">
              <w:rPr>
                <w:rFonts w:cstheme="minorHAnsi"/>
              </w:rPr>
              <w:t>pH</w:t>
            </w:r>
            <w:r w:rsidR="005025EA">
              <w:rPr>
                <w:rFonts w:cstheme="minorHAnsi"/>
              </w:rPr>
              <w:t> </w:t>
            </w:r>
            <w:r w:rsidRPr="00CB708A">
              <w:rPr>
                <w:rFonts w:cstheme="minorHAnsi"/>
              </w:rPr>
              <w:t>5, 3.7</w:t>
            </w:r>
            <w:r w:rsidR="005025EA">
              <w:rPr>
                <w:rFonts w:cstheme="minorHAnsi"/>
              </w:rPr>
              <w:t> </w:t>
            </w:r>
            <w:r w:rsidRPr="00CB708A">
              <w:rPr>
                <w:rFonts w:cstheme="minorHAnsi"/>
              </w:rPr>
              <w:t xml:space="preserve">d </w:t>
            </w:r>
            <w:r w:rsidR="00E67F1F">
              <w:rPr>
                <w:rFonts w:cstheme="minorHAnsi"/>
              </w:rPr>
              <w:t xml:space="preserve">at </w:t>
            </w:r>
            <w:r w:rsidRPr="00CB708A">
              <w:rPr>
                <w:rFonts w:cstheme="minorHAnsi"/>
              </w:rPr>
              <w:t>pH</w:t>
            </w:r>
            <w:r w:rsidR="005025EA">
              <w:rPr>
                <w:rFonts w:cstheme="minorHAnsi"/>
              </w:rPr>
              <w:t> </w:t>
            </w:r>
            <w:r w:rsidRPr="00CB708A">
              <w:rPr>
                <w:rFonts w:cstheme="minorHAnsi"/>
              </w:rPr>
              <w:t>13</w:t>
            </w:r>
            <w:r w:rsidR="00E753CF">
              <w:rPr>
                <w:rFonts w:cstheme="minorHAnsi"/>
              </w:rPr>
              <w:t xml:space="preserve"> </w:t>
            </w:r>
            <w:r w:rsidR="00E753CF" w:rsidRPr="009704D2">
              <w:rPr>
                <w:rStyle w:val="Strong"/>
                <w:vertAlign w:val="superscript"/>
              </w:rPr>
              <w:t>a</w:t>
            </w:r>
          </w:p>
          <w:p w14:paraId="497FE318" w14:textId="05970C42" w:rsidR="00E633CD" w:rsidRPr="00CB708A" w:rsidRDefault="00E633CD" w:rsidP="005025EA">
            <w:pPr>
              <w:pStyle w:val="TableText"/>
              <w:rPr>
                <w:vertAlign w:val="superscript"/>
              </w:rPr>
            </w:pPr>
            <w:r w:rsidRPr="00CB708A">
              <w:rPr>
                <w:rFonts w:cs="Arial"/>
              </w:rPr>
              <w:t>Marine:</w:t>
            </w:r>
            <w:r w:rsidR="002E24A6">
              <w:rPr>
                <w:rFonts w:cs="Arial"/>
              </w:rPr>
              <w:t xml:space="preserve"> 29</w:t>
            </w:r>
            <w:r w:rsidR="00D7456C">
              <w:rPr>
                <w:rFonts w:cs="Arial"/>
              </w:rPr>
              <w:t> </w:t>
            </w:r>
            <w:r w:rsidR="002E24A6">
              <w:rPr>
                <w:rFonts w:cs="Arial"/>
              </w:rPr>
              <w:t>d (</w:t>
            </w:r>
            <w:r w:rsidR="007143CC">
              <w:rPr>
                <w:rFonts w:cs="Arial"/>
              </w:rPr>
              <w:t>light), 49</w:t>
            </w:r>
            <w:r w:rsidR="00D7456C">
              <w:rPr>
                <w:rFonts w:cs="Arial"/>
              </w:rPr>
              <w:t> </w:t>
            </w:r>
            <w:r w:rsidR="007143CC">
              <w:rPr>
                <w:rFonts w:cs="Arial"/>
              </w:rPr>
              <w:t>d (dark)</w:t>
            </w:r>
            <w:r w:rsidRPr="00CB708A">
              <w:rPr>
                <w:rFonts w:cstheme="minorHAnsi"/>
              </w:rPr>
              <w:t>at 2</w:t>
            </w:r>
            <w:r w:rsidR="007143CC">
              <w:rPr>
                <w:rFonts w:cstheme="minorHAnsi"/>
              </w:rPr>
              <w:t>0</w:t>
            </w:r>
            <w:r w:rsidR="00E52B72">
              <w:rPr>
                <w:rFonts w:cstheme="minorHAnsi"/>
              </w:rPr>
              <w:t>°</w:t>
            </w:r>
            <w:r w:rsidRPr="00CB708A">
              <w:rPr>
                <w:rFonts w:cstheme="minorHAnsi"/>
              </w:rPr>
              <w:t>C)</w:t>
            </w:r>
            <w:r w:rsidR="00E753CF">
              <w:rPr>
                <w:rFonts w:cstheme="minorHAnsi"/>
              </w:rPr>
              <w:t xml:space="preserve"> </w:t>
            </w:r>
            <w:r w:rsidR="00E753CF" w:rsidRPr="009704D2">
              <w:rPr>
                <w:rStyle w:val="Strong"/>
                <w:vertAlign w:val="superscript"/>
              </w:rPr>
              <w:t>d</w:t>
            </w:r>
            <w:r>
              <w:rPr>
                <w:rFonts w:cstheme="minorHAnsi"/>
              </w:rPr>
              <w:t>,</w:t>
            </w:r>
            <w:r>
              <w:rPr>
                <w:rFonts w:cs="Arial"/>
              </w:rPr>
              <w:t xml:space="preserve"> </w:t>
            </w:r>
            <w:r w:rsidRPr="00CB708A">
              <w:rPr>
                <w:rFonts w:cs="Arial"/>
              </w:rPr>
              <w:t xml:space="preserve">96 d </w:t>
            </w:r>
            <w:r w:rsidR="00E67F1F">
              <w:rPr>
                <w:rFonts w:cs="Arial"/>
              </w:rPr>
              <w:t>at</w:t>
            </w:r>
            <w:r w:rsidRPr="00CB708A">
              <w:rPr>
                <w:rFonts w:cs="Arial"/>
              </w:rPr>
              <w:t xml:space="preserve"> pH</w:t>
            </w:r>
            <w:r w:rsidR="005025EA">
              <w:rPr>
                <w:rFonts w:cs="Arial"/>
              </w:rPr>
              <w:t> </w:t>
            </w:r>
            <w:r w:rsidRPr="00CB708A">
              <w:rPr>
                <w:rFonts w:cs="Arial"/>
              </w:rPr>
              <w:t>7 and 20</w:t>
            </w:r>
            <w:r w:rsidR="00CC7FB3">
              <w:rPr>
                <w:rFonts w:cs="Arial"/>
              </w:rPr>
              <w:t>°</w:t>
            </w:r>
            <w:r w:rsidRPr="00CB708A">
              <w:rPr>
                <w:rFonts w:cs="Arial"/>
              </w:rPr>
              <w:t>C</w:t>
            </w:r>
            <w:r w:rsidR="002408C4">
              <w:rPr>
                <w:rFonts w:cs="Arial"/>
              </w:rPr>
              <w:t> </w:t>
            </w:r>
            <w:r w:rsidR="00E753CF" w:rsidRPr="009704D2">
              <w:rPr>
                <w:rStyle w:val="Strong"/>
                <w:vertAlign w:val="superscript"/>
              </w:rPr>
              <w:t>b</w:t>
            </w:r>
          </w:p>
        </w:tc>
      </w:tr>
      <w:tr w:rsidR="00E633CD" w14:paraId="59FA75A9" w14:textId="77777777" w:rsidTr="000863DF">
        <w:trPr>
          <w:trHeight w:val="488"/>
        </w:trPr>
        <w:tc>
          <w:tcPr>
            <w:tcW w:w="2188" w:type="pct"/>
            <w:tcBorders>
              <w:bottom w:val="single" w:sz="12" w:space="0" w:color="auto"/>
            </w:tcBorders>
            <w:shd w:val="clear" w:color="auto" w:fill="auto"/>
            <w:vAlign w:val="center"/>
          </w:tcPr>
          <w:p w14:paraId="5FEDAEC3" w14:textId="77777777" w:rsidR="00E633CD" w:rsidRDefault="00E633CD" w:rsidP="005025EA">
            <w:pPr>
              <w:pStyle w:val="TableText"/>
            </w:pPr>
            <w:r>
              <w:t>Half-life in soils (t</w:t>
            </w:r>
            <w:r>
              <w:rPr>
                <w:vertAlign w:val="subscript"/>
              </w:rPr>
              <w:t>1/2</w:t>
            </w:r>
            <w:r>
              <w:t>)</w:t>
            </w:r>
          </w:p>
        </w:tc>
        <w:tc>
          <w:tcPr>
            <w:tcW w:w="2812" w:type="pct"/>
            <w:tcBorders>
              <w:bottom w:val="single" w:sz="12" w:space="0" w:color="auto"/>
            </w:tcBorders>
            <w:shd w:val="clear" w:color="auto" w:fill="auto"/>
          </w:tcPr>
          <w:p w14:paraId="3C5668AC" w14:textId="1EB82E8C" w:rsidR="00E633CD" w:rsidRPr="00CB708A" w:rsidRDefault="00E633CD" w:rsidP="005025EA">
            <w:pPr>
              <w:pStyle w:val="TableText"/>
            </w:pPr>
            <w:r w:rsidRPr="00CB708A">
              <w:rPr>
                <w:rFonts w:cs="Arial"/>
              </w:rPr>
              <w:t>90 d (</w:t>
            </w:r>
            <w:r w:rsidR="003778BB">
              <w:rPr>
                <w:rFonts w:cs="Arial"/>
              </w:rPr>
              <w:t>me</w:t>
            </w:r>
            <w:r w:rsidR="00124983">
              <w:rPr>
                <w:rFonts w:cs="Arial"/>
              </w:rPr>
              <w:t xml:space="preserve">asured in the </w:t>
            </w:r>
            <w:r w:rsidRPr="00CB708A">
              <w:rPr>
                <w:rFonts w:cs="Arial"/>
              </w:rPr>
              <w:t>field)</w:t>
            </w:r>
            <w:r w:rsidR="00E753CF">
              <w:rPr>
                <w:rFonts w:cs="Arial"/>
              </w:rPr>
              <w:t xml:space="preserve"> </w:t>
            </w:r>
            <w:r w:rsidR="00E753CF" w:rsidRPr="009704D2">
              <w:rPr>
                <w:rStyle w:val="Strong"/>
                <w:vertAlign w:val="superscript"/>
              </w:rPr>
              <w:t>b</w:t>
            </w:r>
          </w:p>
        </w:tc>
      </w:tr>
    </w:tbl>
    <w:p w14:paraId="34207B69" w14:textId="1ADE6DA1" w:rsidR="007E5D10" w:rsidRDefault="00E66543" w:rsidP="005025EA">
      <w:pPr>
        <w:pStyle w:val="FigureTableNoteSource"/>
      </w:pPr>
      <w:r w:rsidRPr="00E66543">
        <w:rPr>
          <w:rStyle w:val="Strong"/>
        </w:rPr>
        <w:t>a</w:t>
      </w:r>
      <w:r w:rsidR="00E633CD" w:rsidRPr="00E633CD">
        <w:t xml:space="preserve"> BCPC (2012). </w:t>
      </w:r>
    </w:p>
    <w:p w14:paraId="5E27FE8E" w14:textId="12CA1CD8" w:rsidR="007E5D10" w:rsidRDefault="00E66543" w:rsidP="005025EA">
      <w:pPr>
        <w:pStyle w:val="FigureTableNoteSource"/>
      </w:pPr>
      <w:r w:rsidRPr="00E66543">
        <w:rPr>
          <w:rStyle w:val="Strong"/>
        </w:rPr>
        <w:t>b</w:t>
      </w:r>
      <w:r w:rsidR="00E633CD" w:rsidRPr="00E633CD">
        <w:t xml:space="preserve"> University of Hertfordshire </w:t>
      </w:r>
      <w:r w:rsidR="008C20E6">
        <w:t>(</w:t>
      </w:r>
      <w:r w:rsidR="00E633CD" w:rsidRPr="00E633CD">
        <w:t xml:space="preserve">2013). </w:t>
      </w:r>
    </w:p>
    <w:p w14:paraId="317DD051" w14:textId="6EC13A6C" w:rsidR="007E5D10" w:rsidRDefault="00E66543" w:rsidP="005025EA">
      <w:pPr>
        <w:pStyle w:val="FigureTableNoteSource"/>
      </w:pPr>
      <w:r w:rsidRPr="00E66543">
        <w:rPr>
          <w:rStyle w:val="Strong"/>
        </w:rPr>
        <w:t>c</w:t>
      </w:r>
      <w:r w:rsidR="00E633CD" w:rsidRPr="00E633CD">
        <w:t xml:space="preserve"> CCME (1999). </w:t>
      </w:r>
    </w:p>
    <w:p w14:paraId="779EE279" w14:textId="49FB58D0" w:rsidR="00E633CD" w:rsidRDefault="00E66543" w:rsidP="005025EA">
      <w:pPr>
        <w:pStyle w:val="FigureTableNoteSource"/>
      </w:pPr>
      <w:r w:rsidRPr="00E66543">
        <w:rPr>
          <w:rStyle w:val="Strong"/>
        </w:rPr>
        <w:t>d</w:t>
      </w:r>
      <w:r w:rsidR="00E633CD" w:rsidRPr="00E633CD">
        <w:t xml:space="preserve"> </w:t>
      </w:r>
      <w:r w:rsidR="00C61819">
        <w:t xml:space="preserve">Navarro </w:t>
      </w:r>
      <w:r w:rsidR="00ED5B84">
        <w:t>et al. (2004)</w:t>
      </w:r>
      <w:r w:rsidR="00E633CD" w:rsidRPr="00E633CD">
        <w:t>.</w:t>
      </w:r>
    </w:p>
    <w:p w14:paraId="06F6560D" w14:textId="4FCEB22D" w:rsidR="00E633CD" w:rsidRDefault="00E633CD" w:rsidP="00E633CD">
      <w:r>
        <w:t xml:space="preserve">Simazine belongs to the chlorotriazine group within the triazine herbicides, which also include atrazine, propazine and terbuthylazine. </w:t>
      </w:r>
      <w:r w:rsidR="0049481F">
        <w:t>Simazine is a pre-emergent herbicide</w:t>
      </w:r>
      <w:r w:rsidR="00E650AC">
        <w:t xml:space="preserve"> and</w:t>
      </w:r>
      <w:r>
        <w:t xml:space="preserve"> is used as both a knockdown and residual herbicide. In Australia and New Zealand, simazine is approved for weed control in agriculture (e.g. apples, asparagus, berr</w:t>
      </w:r>
      <w:r w:rsidR="0077222F">
        <w:t>ies</w:t>
      </w:r>
      <w:r>
        <w:t>, broad beans, chick peas, citrus, grapes</w:t>
      </w:r>
      <w:r w:rsidR="004E03D0">
        <w:t>,</w:t>
      </w:r>
      <w:r>
        <w:t xml:space="preserve"> lucerne, pears and wheat), forestry</w:t>
      </w:r>
      <w:r w:rsidR="004E03D0">
        <w:t>,</w:t>
      </w:r>
      <w:r>
        <w:t xml:space="preserve"> and a range of urban and industrial uses (e.g. weed control around buildings, drains, roadsides, footpaths and other commercial and public land) (ACVM 2020</w:t>
      </w:r>
      <w:r w:rsidR="0032374C">
        <w:t>;</w:t>
      </w:r>
      <w:r>
        <w:t xml:space="preserve"> APVMA 2020). </w:t>
      </w:r>
    </w:p>
    <w:p w14:paraId="293B395B" w14:textId="344798A6" w:rsidR="00E633CD" w:rsidRDefault="00E633CD" w:rsidP="00E633CD">
      <w:pPr>
        <w:rPr>
          <w:highlight w:val="cyan"/>
        </w:rPr>
      </w:pPr>
      <w:r>
        <w:t>Simazine has poor</w:t>
      </w:r>
      <w:r w:rsidR="00CE7F3A">
        <w:t>-</w:t>
      </w:r>
      <w:r>
        <w:t>to</w:t>
      </w:r>
      <w:r w:rsidR="00CE7F3A">
        <w:t>-</w:t>
      </w:r>
      <w:r>
        <w:t>moderate soil binding characteristics due to its low log K</w:t>
      </w:r>
      <w:r w:rsidRPr="00965809">
        <w:rPr>
          <w:vertAlign w:val="subscript"/>
        </w:rPr>
        <w:t>oc</w:t>
      </w:r>
      <w:r>
        <w:t xml:space="preserve"> value (</w:t>
      </w:r>
      <w:r w:rsidR="00A40326">
        <w:fldChar w:fldCharType="begin"/>
      </w:r>
      <w:r w:rsidR="00A40326">
        <w:instrText xml:space="preserve"> REF _Ref185509866 \h </w:instrText>
      </w:r>
      <w:r w:rsidR="00A40326">
        <w:fldChar w:fldCharType="separate"/>
      </w:r>
      <w:r w:rsidR="00E74306">
        <w:t>Table </w:t>
      </w:r>
      <w:r w:rsidR="00E74306">
        <w:rPr>
          <w:noProof/>
        </w:rPr>
        <w:t>1</w:t>
      </w:r>
      <w:r w:rsidR="00A40326">
        <w:fldChar w:fldCharType="end"/>
      </w:r>
      <w:r>
        <w:t xml:space="preserve">). Although simazine is used in terrestrial applications, its presence in marine habitats demonstrates its </w:t>
      </w:r>
      <w:r>
        <w:lastRenderedPageBreak/>
        <w:t xml:space="preserve">mobility and long half-life in aquatic </w:t>
      </w:r>
      <w:r w:rsidR="00CE7F3A">
        <w:t xml:space="preserve">marine </w:t>
      </w:r>
      <w:r>
        <w:t>environments (</w:t>
      </w:r>
      <w:r w:rsidR="00A40326">
        <w:fldChar w:fldCharType="begin"/>
      </w:r>
      <w:r w:rsidR="00A40326">
        <w:instrText xml:space="preserve"> REF _Ref185509866 \h </w:instrText>
      </w:r>
      <w:r w:rsidR="00A40326">
        <w:fldChar w:fldCharType="separate"/>
      </w:r>
      <w:r w:rsidR="00E74306">
        <w:t>Table </w:t>
      </w:r>
      <w:r w:rsidR="00E74306">
        <w:rPr>
          <w:noProof/>
        </w:rPr>
        <w:t>1</w:t>
      </w:r>
      <w:r w:rsidR="00A40326">
        <w:fldChar w:fldCharType="end"/>
      </w:r>
      <w:r>
        <w:t xml:space="preserve">). Simazine has been detected frequently in Australian estuarine, coastal and marine ecosystems, including the Great Barrier Reef (Shaw and Müller 2005), seagrass communities in Hervey Bay (McMahon et al. 2005), and mangrove forest in the Mackay Whitsundays (Duke et al. 2005). Following a withdrawal of authorisations of plant protection products containing simazine in Europe in 2003 (EU Commission Regulation 2010), simazine was still detectable in marine ecosystems </w:t>
      </w:r>
      <w:r w:rsidR="000934A8">
        <w:t xml:space="preserve">almost </w:t>
      </w:r>
      <w:r>
        <w:t xml:space="preserve">a decade later, although well below the levels from one to two decades earlier (Mai et al. 2013). Due to its widespread detection and its broad range of adverse effects, simazine has been included in the EU Priority Pollutants List and the equivalent </w:t>
      </w:r>
      <w:r w:rsidR="001119B5">
        <w:t>United States Environmental Protection Agency (</w:t>
      </w:r>
      <w:r>
        <w:t>USEPA</w:t>
      </w:r>
      <w:r w:rsidR="001119B5">
        <w:t>)</w:t>
      </w:r>
      <w:r>
        <w:t xml:space="preserve"> list (Stara et al. 2012).</w:t>
      </w:r>
    </w:p>
    <w:p w14:paraId="768658E0" w14:textId="0C71E77D" w:rsidR="00BF0280" w:rsidRPr="007E3AF6" w:rsidRDefault="00BF0280" w:rsidP="00BF0280">
      <w:pPr>
        <w:pStyle w:val="Heading2"/>
      </w:pPr>
      <w:bookmarkStart w:id="6" w:name="_Ref185509466"/>
      <w:bookmarkStart w:id="7" w:name="_Toc189412374"/>
      <w:r w:rsidRPr="007E3AF6">
        <w:t>Aquatic toxicology</w:t>
      </w:r>
      <w:bookmarkEnd w:id="6"/>
      <w:bookmarkEnd w:id="7"/>
    </w:p>
    <w:p w14:paraId="5ACEAE56" w14:textId="77777777" w:rsidR="00342D9C" w:rsidRPr="007E3AF6" w:rsidRDefault="00342D9C" w:rsidP="0053068D">
      <w:pPr>
        <w:pStyle w:val="Heading3"/>
      </w:pPr>
      <w:bookmarkStart w:id="8" w:name="_Ref185509422"/>
      <w:bookmarkStart w:id="9" w:name="_Ref185509440"/>
      <w:bookmarkStart w:id="10" w:name="_Ref185509481"/>
      <w:bookmarkStart w:id="11" w:name="_Toc189412375"/>
      <w:r w:rsidRPr="007E3AF6">
        <w:t>Mechanism of toxicity</w:t>
      </w:r>
      <w:bookmarkEnd w:id="8"/>
      <w:bookmarkEnd w:id="9"/>
      <w:bookmarkEnd w:id="10"/>
      <w:bookmarkEnd w:id="11"/>
    </w:p>
    <w:p w14:paraId="6FDDDDAD" w14:textId="703DF492" w:rsidR="00ED10C1" w:rsidRDefault="007E3AF6" w:rsidP="007E3AF6">
      <w:r>
        <w:t>Simazine is mainly absorbed through the roots of plants and transported to the leaves, where it exerts its toxicity. Simazine exerts its toxicity in aquatic plants (including macrophytes and algae) by inhibiting electron transport in the photosystem</w:t>
      </w:r>
      <w:r w:rsidR="00ED10C1">
        <w:t> </w:t>
      </w:r>
      <w:r>
        <w:t>II (PSII) complex (University of Hertfordshire 2013), a key process in photosynthesis that occurs in the thylakoid membranes of chloroplasts. Photosynthesis</w:t>
      </w:r>
      <w:r w:rsidR="000C76D8">
        <w:t>-</w:t>
      </w:r>
      <w:r>
        <w:t>inhibiting herbicides bind to the plastoquinone B protein binding site on the D1 protein in PSII. This prevents the transport of electrons to synthesise adenosine triphosphate (used for cellular metabolism) and nicotinamide adenine dinucleotide phosphate (used in converting CO</w:t>
      </w:r>
      <w:r w:rsidRPr="007C1530">
        <w:rPr>
          <w:vertAlign w:val="subscript"/>
        </w:rPr>
        <w:t>2</w:t>
      </w:r>
      <w:r>
        <w:t xml:space="preserve"> to glucose), therefore prevent</w:t>
      </w:r>
      <w:r w:rsidR="00D96EDD">
        <w:t>ing</w:t>
      </w:r>
      <w:r>
        <w:t xml:space="preserve"> CO</w:t>
      </w:r>
      <w:r w:rsidRPr="000757DE">
        <w:rPr>
          <w:vertAlign w:val="subscript"/>
        </w:rPr>
        <w:t>2</w:t>
      </w:r>
      <w:r>
        <w:t xml:space="preserve"> fixation (Wilson et al. 2000).</w:t>
      </w:r>
    </w:p>
    <w:p w14:paraId="7B31C47B" w14:textId="6E33B2C0" w:rsidR="00ED10C1" w:rsidRDefault="007E3AF6" w:rsidP="007E3AF6">
      <w:r>
        <w:t>In addition to its main</w:t>
      </w:r>
      <w:r w:rsidR="009D0033">
        <w:t xml:space="preserve"> mechanism of toxicity</w:t>
      </w:r>
      <w:r>
        <w:t>, exposure to PSII-inhibiting herbicides can increase the formation of reactive oxygen species (ROS), including the singlet oxygen (</w:t>
      </w:r>
      <w:r w:rsidR="004C752F" w:rsidRPr="004C752F">
        <w:rPr>
          <w:vertAlign w:val="superscript"/>
        </w:rPr>
        <w:t>1</w:t>
      </w:r>
      <w:r w:rsidR="004C752F">
        <w:t>O</w:t>
      </w:r>
      <w:r w:rsidR="004C752F" w:rsidRPr="004C752F">
        <w:rPr>
          <w:vertAlign w:val="subscript"/>
        </w:rPr>
        <w:t>2</w:t>
      </w:r>
      <w:r>
        <w:t>), superoxide (O</w:t>
      </w:r>
      <w:r w:rsidRPr="007A0A37">
        <w:rPr>
          <w:vertAlign w:val="subscript"/>
        </w:rPr>
        <w:t>2</w:t>
      </w:r>
      <w:r w:rsidR="0032374C">
        <w:rPr>
          <w:vertAlign w:val="superscript"/>
        </w:rPr>
        <w:t>–</w:t>
      </w:r>
      <w:r>
        <w:t>) and hydrogen peroxide (H</w:t>
      </w:r>
      <w:r w:rsidRPr="00277B53">
        <w:rPr>
          <w:vertAlign w:val="subscript"/>
        </w:rPr>
        <w:t>2</w:t>
      </w:r>
      <w:r>
        <w:t>O</w:t>
      </w:r>
      <w:r w:rsidRPr="00277B53">
        <w:rPr>
          <w:vertAlign w:val="subscript"/>
        </w:rPr>
        <w:t>2</w:t>
      </w:r>
      <w:r>
        <w:t>) (Halliwell 1991). R</w:t>
      </w:r>
      <w:r w:rsidR="008A31A7">
        <w:t>OS</w:t>
      </w:r>
      <w:r>
        <w:t xml:space="preserve"> are highly reactive forms of oxygen that readily react with, and bind to, biomolecules, including deoxyribonucleic acid (DNA) and ribonucleic acid (RNA). R</w:t>
      </w:r>
      <w:r w:rsidR="008A31A7">
        <w:t>OS</w:t>
      </w:r>
      <w:r>
        <w:t xml:space="preserve"> are created during normal cellular function</w:t>
      </w:r>
      <w:r w:rsidR="004373AC">
        <w:t>s</w:t>
      </w:r>
      <w:r>
        <w:t>, particularly in biochemical processes that involve the generation of energy (e.g. photosynthesis in chloroplasts</w:t>
      </w:r>
      <w:r w:rsidR="0054665F">
        <w:t>;</w:t>
      </w:r>
      <w:r>
        <w:t xml:space="preserve"> Krebs cycle in mitochondria), and are involved in a number of cellular processes (Chen et al. 2012). In phototrophs, ROS are formed when the absorbed light energy exceeds the ability to convert CO</w:t>
      </w:r>
      <w:r w:rsidRPr="008E5EB7">
        <w:rPr>
          <w:vertAlign w:val="subscript"/>
        </w:rPr>
        <w:t>2</w:t>
      </w:r>
      <w:r>
        <w:t xml:space="preserve"> to organic molecules, thus accumulating oxygen (Chen et al. 2012). Prolonged exposure to elevated concentrations of ROS in plants, </w:t>
      </w:r>
      <w:r w:rsidR="00DC5EA6">
        <w:t>generated by</w:t>
      </w:r>
      <w:r>
        <w:t xml:space="preserve"> biotic (e.g. disease) and/or abiotic (e.g. PSII-inhibiting herbicides)</w:t>
      </w:r>
      <w:r w:rsidR="002A163D">
        <w:t xml:space="preserve"> stressors</w:t>
      </w:r>
      <w:r>
        <w:t>, can cause irreversible cell damage and ultimately lead to cell death (apoptosis).</w:t>
      </w:r>
    </w:p>
    <w:p w14:paraId="1B986FF7" w14:textId="51FB3D05" w:rsidR="007E3AF6" w:rsidRPr="007E3AF6" w:rsidRDefault="007E3AF6" w:rsidP="007E3AF6">
      <w:r>
        <w:t>While simazine predominantly targets the PSII complex</w:t>
      </w:r>
      <w:r w:rsidR="0060606A">
        <w:t>,</w:t>
      </w:r>
      <w:r>
        <w:t xml:space="preserve"> it can also exert biochemical effects</w:t>
      </w:r>
      <w:r w:rsidR="005869AF">
        <w:t xml:space="preserve"> (including endocrine disrupting effects)</w:t>
      </w:r>
      <w:r>
        <w:t xml:space="preserve"> in non-target organisms (Depledge and Billinghurst 1999</w:t>
      </w:r>
      <w:r w:rsidR="0032374C">
        <w:t>;</w:t>
      </w:r>
      <w:r>
        <w:t xml:space="preserve"> </w:t>
      </w:r>
      <w:proofErr w:type="spellStart"/>
      <w:r>
        <w:t>Mnif</w:t>
      </w:r>
      <w:proofErr w:type="spellEnd"/>
      <w:r>
        <w:t xml:space="preserve"> et al. 2011</w:t>
      </w:r>
      <w:r w:rsidR="0032374C">
        <w:t>;</w:t>
      </w:r>
      <w:r>
        <w:t xml:space="preserve"> </w:t>
      </w:r>
      <w:r w:rsidR="000B718D">
        <w:rPr>
          <w:lang w:eastAsia="ja-JP"/>
        </w:rPr>
        <w:t xml:space="preserve">Bergman </w:t>
      </w:r>
      <w:r w:rsidR="000B718D">
        <w:t>et al. 2013</w:t>
      </w:r>
      <w:r>
        <w:t>). For example, concentrations of 1</w:t>
      </w:r>
      <w:r w:rsidR="005869AF">
        <w:t>–</w:t>
      </w:r>
      <w:r>
        <w:t>2</w:t>
      </w:r>
      <w:r w:rsidR="0032374C">
        <w:t> </w:t>
      </w:r>
      <w:r>
        <w:t xml:space="preserve">µg/L can </w:t>
      </w:r>
      <w:r w:rsidR="00DB22A8">
        <w:t>inhibit</w:t>
      </w:r>
      <w:r>
        <w:t xml:space="preserve"> the endocrine</w:t>
      </w:r>
      <w:r w:rsidR="00603D7E">
        <w:t>-</w:t>
      </w:r>
      <w:r>
        <w:t>mediated olfactory response of male Atlantic salmon (</w:t>
      </w:r>
      <w:r w:rsidRPr="00E76AF1">
        <w:rPr>
          <w:i/>
          <w:iCs/>
        </w:rPr>
        <w:t xml:space="preserve">Salmo </w:t>
      </w:r>
      <w:proofErr w:type="spellStart"/>
      <w:r w:rsidRPr="00E76AF1">
        <w:rPr>
          <w:i/>
          <w:iCs/>
        </w:rPr>
        <w:t>salar</w:t>
      </w:r>
      <w:proofErr w:type="spellEnd"/>
      <w:r>
        <w:t xml:space="preserve"> L.) to the female priming pheromone prostaglandin </w:t>
      </w:r>
      <w:r w:rsidRPr="007E3AF6">
        <w:t>(Moore and Lower 2001).</w:t>
      </w:r>
    </w:p>
    <w:p w14:paraId="797966B4" w14:textId="7FAF39C9" w:rsidR="00342D9C" w:rsidRPr="007E3AF6" w:rsidRDefault="007E3AF6" w:rsidP="00342D9C">
      <w:pPr>
        <w:pStyle w:val="Heading3"/>
      </w:pPr>
      <w:bookmarkStart w:id="12" w:name="_Toc189412376"/>
      <w:r w:rsidRPr="007E3AF6">
        <w:t>Relative t</w:t>
      </w:r>
      <w:r w:rsidR="00342D9C" w:rsidRPr="007E3AF6">
        <w:t>oxicity</w:t>
      </w:r>
      <w:bookmarkEnd w:id="12"/>
    </w:p>
    <w:p w14:paraId="0D139866" w14:textId="5FE8937A" w:rsidR="007E3AF6" w:rsidRDefault="007E3AF6" w:rsidP="007E3AF6">
      <w:r>
        <w:t>There were toxicity data for 15</w:t>
      </w:r>
      <w:r w:rsidR="00C24016">
        <w:t> </w:t>
      </w:r>
      <w:r>
        <w:t xml:space="preserve">marine species that passed the screening and quality assessment processes. These consisted of </w:t>
      </w:r>
      <w:r w:rsidR="006023B7">
        <w:t>10</w:t>
      </w:r>
      <w:r>
        <w:t xml:space="preserve"> phototroph</w:t>
      </w:r>
      <w:r w:rsidR="00C24016">
        <w:t>s</w:t>
      </w:r>
      <w:r>
        <w:t xml:space="preserve"> and five heterotroph</w:t>
      </w:r>
      <w:r w:rsidR="00C24016">
        <w:t>s</w:t>
      </w:r>
      <w:r>
        <w:t>. The phototroph</w:t>
      </w:r>
      <w:r w:rsidR="00241C51">
        <w:t>s</w:t>
      </w:r>
      <w:r>
        <w:t xml:space="preserve"> consisted of </w:t>
      </w:r>
      <w:r>
        <w:lastRenderedPageBreak/>
        <w:t>three diatoms, three green algae, one cryptomonad, two golden</w:t>
      </w:r>
      <w:r w:rsidR="00ED2E9B">
        <w:t>-brown</w:t>
      </w:r>
      <w:r>
        <w:t xml:space="preserve"> </w:t>
      </w:r>
      <w:r w:rsidR="00ED2E9B">
        <w:t>micro</w:t>
      </w:r>
      <w:r>
        <w:t xml:space="preserve">algae and a dinoflagellate. The heterotrophs consisted of </w:t>
      </w:r>
      <w:r w:rsidR="00BA26DD">
        <w:t xml:space="preserve">three </w:t>
      </w:r>
      <w:r>
        <w:t xml:space="preserve">crustaceans and </w:t>
      </w:r>
      <w:r w:rsidR="00036F68">
        <w:t xml:space="preserve">a </w:t>
      </w:r>
      <w:r>
        <w:t>mollusc</w:t>
      </w:r>
      <w:r w:rsidR="0033014B">
        <w:t xml:space="preserve"> (bivalve)</w:t>
      </w:r>
      <w:r>
        <w:t xml:space="preserve">. The sparse availability of simazine toxicity to marine species </w:t>
      </w:r>
      <w:r w:rsidR="00F379F4">
        <w:t xml:space="preserve">data </w:t>
      </w:r>
      <w:r>
        <w:t>limits the ability to compare its relative toxicity among different organism types. Generally, heterotroph</w:t>
      </w:r>
      <w:r w:rsidR="00F379F4">
        <w:t>s</w:t>
      </w:r>
      <w:r>
        <w:t xml:space="preserve"> were less sensitive than phototroph</w:t>
      </w:r>
      <w:r w:rsidR="00F379F4">
        <w:t>s</w:t>
      </w:r>
      <w:r>
        <w:t>, although there was overlap in the datasets, with two marine heterotroph sensitivities within the range of phototroph</w:t>
      </w:r>
      <w:r w:rsidR="00F379F4">
        <w:t xml:space="preserve"> sensitivities</w:t>
      </w:r>
      <w:r>
        <w:t xml:space="preserve"> (</w:t>
      </w:r>
      <w:r w:rsidR="00E82378">
        <w:fldChar w:fldCharType="begin"/>
      </w:r>
      <w:r w:rsidR="00E82378">
        <w:instrText xml:space="preserve"> REF _Ref185510721 \h </w:instrText>
      </w:r>
      <w:r w:rsidR="00E82378">
        <w:fldChar w:fldCharType="separate"/>
      </w:r>
      <w:r w:rsidR="00E74306">
        <w:t>Appendix </w:t>
      </w:r>
      <w:r w:rsidR="00E74306">
        <w:rPr>
          <w:noProof/>
        </w:rPr>
        <w:t>B</w:t>
      </w:r>
      <w:r w:rsidR="00E82378">
        <w:fldChar w:fldCharType="end"/>
      </w:r>
      <w:r>
        <w:t>).</w:t>
      </w:r>
    </w:p>
    <w:p w14:paraId="6EADC945" w14:textId="626C03FD" w:rsidR="00EA26D2" w:rsidRDefault="007E3AF6" w:rsidP="007E3AF6">
      <w:r>
        <w:t>There did not appear to be any difference in the sensitivit</w:t>
      </w:r>
      <w:r w:rsidR="00EA26D2">
        <w:t>ies</w:t>
      </w:r>
      <w:r>
        <w:t xml:space="preserve"> of the five types of marine phototrophs as their range</w:t>
      </w:r>
      <w:r w:rsidR="006E3458">
        <w:t>s</w:t>
      </w:r>
      <w:r>
        <w:t xml:space="preserve"> of toxicity values overlap, as follows</w:t>
      </w:r>
      <w:r w:rsidR="006E3458">
        <w:t>.</w:t>
      </w:r>
      <w:r>
        <w:t xml:space="preserve"> </w:t>
      </w:r>
    </w:p>
    <w:p w14:paraId="5D3668B2" w14:textId="0DEF6CC6" w:rsidR="00EA26D2" w:rsidRDefault="006E3458" w:rsidP="006E3458">
      <w:pPr>
        <w:pStyle w:val="ListBullet"/>
      </w:pPr>
      <w:r>
        <w:t>D</w:t>
      </w:r>
      <w:r w:rsidR="007E3AF6">
        <w:t>iatom toxicity values ranged from 100</w:t>
      </w:r>
      <w:r w:rsidR="0032374C">
        <w:t> </w:t>
      </w:r>
      <w:r w:rsidR="007E3AF6">
        <w:t xml:space="preserve">µg/L for </w:t>
      </w:r>
      <w:proofErr w:type="spellStart"/>
      <w:r w:rsidR="007E3AF6" w:rsidRPr="009F6C0D">
        <w:rPr>
          <w:i/>
          <w:iCs/>
        </w:rPr>
        <w:t>Phaeodactylum</w:t>
      </w:r>
      <w:proofErr w:type="spellEnd"/>
      <w:r w:rsidR="007E3AF6" w:rsidRPr="009F6C0D">
        <w:rPr>
          <w:i/>
          <w:iCs/>
        </w:rPr>
        <w:t xml:space="preserve"> </w:t>
      </w:r>
      <w:proofErr w:type="spellStart"/>
      <w:r w:rsidR="007E3AF6" w:rsidRPr="009F6C0D">
        <w:rPr>
          <w:i/>
          <w:iCs/>
        </w:rPr>
        <w:t>tricornutum</w:t>
      </w:r>
      <w:proofErr w:type="spellEnd"/>
      <w:r w:rsidR="007E3AF6">
        <w:t xml:space="preserve"> (Osborn and Hook 2013) to </w:t>
      </w:r>
      <w:r w:rsidR="00E12CD4">
        <w:t>250</w:t>
      </w:r>
      <w:r w:rsidR="0032374C">
        <w:t> </w:t>
      </w:r>
      <w:r w:rsidR="007E3AF6">
        <w:t xml:space="preserve">µg/L for </w:t>
      </w:r>
      <w:proofErr w:type="spellStart"/>
      <w:r w:rsidR="007E3AF6" w:rsidRPr="009F6C0D">
        <w:rPr>
          <w:i/>
          <w:iCs/>
        </w:rPr>
        <w:t>Skeletonema</w:t>
      </w:r>
      <w:proofErr w:type="spellEnd"/>
      <w:r w:rsidR="007E3AF6" w:rsidRPr="009F6C0D">
        <w:rPr>
          <w:i/>
          <w:iCs/>
        </w:rPr>
        <w:t xml:space="preserve"> </w:t>
      </w:r>
      <w:proofErr w:type="spellStart"/>
      <w:r w:rsidR="007E3AF6" w:rsidRPr="009F6C0D">
        <w:rPr>
          <w:i/>
          <w:iCs/>
        </w:rPr>
        <w:t>costatum</w:t>
      </w:r>
      <w:proofErr w:type="spellEnd"/>
      <w:r w:rsidR="007E3AF6">
        <w:t xml:space="preserve"> (USEPA 2015)</w:t>
      </w:r>
      <w:r w:rsidR="006A0C30">
        <w:t>.</w:t>
      </w:r>
      <w:r w:rsidR="007E3AF6">
        <w:t xml:space="preserve"> </w:t>
      </w:r>
    </w:p>
    <w:p w14:paraId="08E13983" w14:textId="63D9FE4C" w:rsidR="00EA26D2" w:rsidRDefault="006A0C30" w:rsidP="006E3458">
      <w:pPr>
        <w:pStyle w:val="ListBullet"/>
      </w:pPr>
      <w:r>
        <w:t>G</w:t>
      </w:r>
      <w:r w:rsidR="007E3AF6">
        <w:t>reen algae toxicity values ranged from 37.5</w:t>
      </w:r>
      <w:r w:rsidR="0032374C">
        <w:t> </w:t>
      </w:r>
      <w:r w:rsidR="007E3AF6">
        <w:t xml:space="preserve">µg/L for </w:t>
      </w:r>
      <w:proofErr w:type="spellStart"/>
      <w:r w:rsidR="007E3AF6" w:rsidRPr="009F6C0D">
        <w:rPr>
          <w:i/>
          <w:iCs/>
        </w:rPr>
        <w:t>Tetraselmis</w:t>
      </w:r>
      <w:proofErr w:type="spellEnd"/>
      <w:r w:rsidR="0032374C">
        <w:t> </w:t>
      </w:r>
      <w:r w:rsidR="007E3AF6">
        <w:t>sp. (Negri et al. 2020) to 5</w:t>
      </w:r>
      <w:r w:rsidR="0032374C">
        <w:t> </w:t>
      </w:r>
      <w:r w:rsidR="007E3AF6">
        <w:t>000</w:t>
      </w:r>
      <w:r w:rsidR="0032374C">
        <w:t> </w:t>
      </w:r>
      <w:r w:rsidR="007E3AF6">
        <w:t xml:space="preserve">µg/L for </w:t>
      </w:r>
      <w:proofErr w:type="spellStart"/>
      <w:r w:rsidR="007E3AF6" w:rsidRPr="009F6C0D">
        <w:rPr>
          <w:i/>
          <w:iCs/>
        </w:rPr>
        <w:t>Dunaliella</w:t>
      </w:r>
      <w:proofErr w:type="spellEnd"/>
      <w:r w:rsidR="007E3AF6" w:rsidRPr="009F6C0D">
        <w:rPr>
          <w:i/>
          <w:iCs/>
        </w:rPr>
        <w:t xml:space="preserve"> </w:t>
      </w:r>
      <w:proofErr w:type="spellStart"/>
      <w:r w:rsidR="007E3AF6" w:rsidRPr="009F6C0D">
        <w:rPr>
          <w:i/>
          <w:iCs/>
        </w:rPr>
        <w:t>tertiolecta</w:t>
      </w:r>
      <w:proofErr w:type="spellEnd"/>
      <w:r w:rsidR="007E3AF6">
        <w:t xml:space="preserve"> (USEPA 2015)</w:t>
      </w:r>
      <w:r>
        <w:t>.</w:t>
      </w:r>
    </w:p>
    <w:p w14:paraId="07817232" w14:textId="53B16B6E" w:rsidR="006E3458" w:rsidRDefault="006A0C30" w:rsidP="006E3458">
      <w:pPr>
        <w:pStyle w:val="ListBullet"/>
      </w:pPr>
      <w:r>
        <w:t>G</w:t>
      </w:r>
      <w:r w:rsidR="007E3AF6">
        <w:t>olden</w:t>
      </w:r>
      <w:r w:rsidR="00E12CD4">
        <w:t>-brown</w:t>
      </w:r>
      <w:r w:rsidR="007E3AF6">
        <w:t xml:space="preserve"> algae toxicity values ranged from 60.2</w:t>
      </w:r>
      <w:r w:rsidR="0032374C">
        <w:t> µ</w:t>
      </w:r>
      <w:r w:rsidR="007E3AF6">
        <w:t xml:space="preserve">g/L for </w:t>
      </w:r>
      <w:proofErr w:type="spellStart"/>
      <w:r w:rsidR="007E3AF6" w:rsidRPr="00BD4B0C">
        <w:rPr>
          <w:i/>
          <w:iCs/>
        </w:rPr>
        <w:t>Tisochrysis</w:t>
      </w:r>
      <w:proofErr w:type="spellEnd"/>
      <w:r w:rsidR="007E3AF6" w:rsidRPr="00BD4B0C">
        <w:rPr>
          <w:i/>
          <w:iCs/>
        </w:rPr>
        <w:t xml:space="preserve"> lutea</w:t>
      </w:r>
      <w:r w:rsidR="007E3AF6">
        <w:t xml:space="preserve"> (Negri et al. 2020) to 500</w:t>
      </w:r>
      <w:r w:rsidR="0032374C">
        <w:t> µ</w:t>
      </w:r>
      <w:r w:rsidR="007E3AF6">
        <w:t xml:space="preserve">g/L for </w:t>
      </w:r>
      <w:proofErr w:type="spellStart"/>
      <w:r w:rsidR="007E3AF6" w:rsidRPr="009F6C0D">
        <w:rPr>
          <w:i/>
          <w:iCs/>
        </w:rPr>
        <w:t>Isochrysis</w:t>
      </w:r>
      <w:proofErr w:type="spellEnd"/>
      <w:r w:rsidR="007E3AF6" w:rsidRPr="009F6C0D">
        <w:rPr>
          <w:i/>
          <w:iCs/>
        </w:rPr>
        <w:t xml:space="preserve"> </w:t>
      </w:r>
      <w:proofErr w:type="spellStart"/>
      <w:r w:rsidR="007E3AF6" w:rsidRPr="009F6C0D">
        <w:rPr>
          <w:i/>
          <w:iCs/>
        </w:rPr>
        <w:t>galbana</w:t>
      </w:r>
      <w:proofErr w:type="spellEnd"/>
      <w:r w:rsidR="007E3AF6">
        <w:t xml:space="preserve"> (USEPA 2015)</w:t>
      </w:r>
      <w:r>
        <w:t>.</w:t>
      </w:r>
    </w:p>
    <w:p w14:paraId="02B51C95" w14:textId="160AD0EF" w:rsidR="006E3458" w:rsidRDefault="006A0C30" w:rsidP="006E3458">
      <w:pPr>
        <w:pStyle w:val="ListBullet"/>
      </w:pPr>
      <w:r>
        <w:t>C</w:t>
      </w:r>
      <w:r w:rsidR="007E3AF6">
        <w:t>ryptomonad toxicity values ranged from 38.4</w:t>
      </w:r>
      <w:r w:rsidR="002462B0">
        <w:t> µg/L</w:t>
      </w:r>
      <w:r w:rsidR="007E3AF6">
        <w:t xml:space="preserve"> to 184</w:t>
      </w:r>
      <w:r w:rsidR="0032374C">
        <w:t> µ</w:t>
      </w:r>
      <w:r w:rsidR="007E3AF6">
        <w:t xml:space="preserve">g/L for </w:t>
      </w:r>
      <w:proofErr w:type="spellStart"/>
      <w:r w:rsidR="007E3AF6" w:rsidRPr="009F6C0D">
        <w:rPr>
          <w:i/>
          <w:iCs/>
        </w:rPr>
        <w:t>Rhodomonas</w:t>
      </w:r>
      <w:proofErr w:type="spellEnd"/>
      <w:r w:rsidR="007E3AF6" w:rsidRPr="009F6C0D">
        <w:rPr>
          <w:i/>
          <w:iCs/>
        </w:rPr>
        <w:t xml:space="preserve"> salina</w:t>
      </w:r>
      <w:r w:rsidR="007E3AF6">
        <w:t xml:space="preserve"> (Negri et al. 2020)</w:t>
      </w:r>
      <w:r>
        <w:t>.</w:t>
      </w:r>
    </w:p>
    <w:p w14:paraId="43CA41DE" w14:textId="2C2F1F2F" w:rsidR="007E3AF6" w:rsidRDefault="006A0C30" w:rsidP="006E3458">
      <w:pPr>
        <w:pStyle w:val="ListBullet"/>
      </w:pPr>
      <w:r>
        <w:t>D</w:t>
      </w:r>
      <w:r w:rsidR="007E3AF6">
        <w:t>inoflagellate toxicity values ranged from 257</w:t>
      </w:r>
      <w:r w:rsidR="00597689">
        <w:t> µg/L</w:t>
      </w:r>
      <w:r w:rsidR="007E3AF6">
        <w:t xml:space="preserve"> to 387</w:t>
      </w:r>
      <w:r w:rsidR="0032374C">
        <w:t> µ</w:t>
      </w:r>
      <w:r w:rsidR="007E3AF6">
        <w:t>g/L</w:t>
      </w:r>
      <w:r w:rsidR="006D353E">
        <w:t xml:space="preserve"> for </w:t>
      </w:r>
      <w:proofErr w:type="spellStart"/>
      <w:r w:rsidR="006D353E" w:rsidRPr="006D353E">
        <w:rPr>
          <w:i/>
        </w:rPr>
        <w:t>Cladocopium</w:t>
      </w:r>
      <w:proofErr w:type="spellEnd"/>
      <w:r w:rsidR="006D353E" w:rsidRPr="006D353E">
        <w:rPr>
          <w:i/>
        </w:rPr>
        <w:t xml:space="preserve"> </w:t>
      </w:r>
      <w:proofErr w:type="spellStart"/>
      <w:r w:rsidR="006D353E" w:rsidRPr="006D353E">
        <w:rPr>
          <w:i/>
        </w:rPr>
        <w:t>goreaui</w:t>
      </w:r>
      <w:proofErr w:type="spellEnd"/>
      <w:r w:rsidR="006D353E">
        <w:t xml:space="preserve"> (</w:t>
      </w:r>
      <w:r w:rsidR="006E26D8">
        <w:t>Negri et al. 2020)</w:t>
      </w:r>
      <w:r w:rsidR="007E3AF6">
        <w:t>.</w:t>
      </w:r>
    </w:p>
    <w:p w14:paraId="600F6059" w14:textId="616D9B3C" w:rsidR="006E3458" w:rsidRDefault="007E3AF6" w:rsidP="007E3AF6">
      <w:r>
        <w:t>The heterotrop</w:t>
      </w:r>
      <w:r w:rsidR="001D37A9">
        <w:t>h</w:t>
      </w:r>
      <w:r w:rsidR="00561934">
        <w:t>s</w:t>
      </w:r>
      <w:r>
        <w:t xml:space="preserve"> had toxicity values ranging from 1</w:t>
      </w:r>
      <w:r w:rsidR="00E4558B">
        <w:t> </w:t>
      </w:r>
      <w:r>
        <w:t>000</w:t>
      </w:r>
      <w:r w:rsidR="00561934">
        <w:t> µg/L</w:t>
      </w:r>
      <w:r>
        <w:t xml:space="preserve"> to</w:t>
      </w:r>
      <w:r w:rsidR="00CB09D3">
        <w:t xml:space="preserve"> 1</w:t>
      </w:r>
      <w:r w:rsidR="00C45660">
        <w:t> </w:t>
      </w:r>
      <w:r w:rsidR="00CB09D3">
        <w:t>000</w:t>
      </w:r>
      <w:r w:rsidR="00C45660">
        <w:t> </w:t>
      </w:r>
      <w:r w:rsidR="00CB09D3">
        <w:t>000</w:t>
      </w:r>
      <w:r w:rsidR="00E4558B">
        <w:t>µ</w:t>
      </w:r>
      <w:r>
        <w:t xml:space="preserve">g/L. </w:t>
      </w:r>
    </w:p>
    <w:p w14:paraId="7A473D29" w14:textId="70DC250C" w:rsidR="006E3458" w:rsidRDefault="007E3AF6" w:rsidP="006E3458">
      <w:pPr>
        <w:pStyle w:val="ListBullet"/>
      </w:pPr>
      <w:r>
        <w:t>Fish toxicity values ranged from 1</w:t>
      </w:r>
      <w:r w:rsidR="00E4558B">
        <w:t> </w:t>
      </w:r>
      <w:r>
        <w:t>000</w:t>
      </w:r>
      <w:r w:rsidR="00E4558B">
        <w:t> µ</w:t>
      </w:r>
      <w:r>
        <w:t xml:space="preserve">g/L for </w:t>
      </w:r>
      <w:r w:rsidRPr="00E4558B">
        <w:rPr>
          <w:i/>
          <w:iCs/>
        </w:rPr>
        <w:t>Morone saxatilis</w:t>
      </w:r>
      <w:r>
        <w:t xml:space="preserve"> (USEPA 2015) to 4</w:t>
      </w:r>
      <w:r w:rsidR="00E4558B">
        <w:t> </w:t>
      </w:r>
      <w:r>
        <w:t>300</w:t>
      </w:r>
      <w:r w:rsidR="00E4558B">
        <w:t> µ</w:t>
      </w:r>
      <w:r>
        <w:t xml:space="preserve">g/L for </w:t>
      </w:r>
      <w:r w:rsidRPr="00163E7D">
        <w:rPr>
          <w:i/>
          <w:iCs/>
        </w:rPr>
        <w:t>Cyprinodon variegatus</w:t>
      </w:r>
      <w:r>
        <w:t xml:space="preserve"> (USEPA 2015)</w:t>
      </w:r>
      <w:r w:rsidR="00B63F3F">
        <w:t>.</w:t>
      </w:r>
    </w:p>
    <w:p w14:paraId="363723DF" w14:textId="0C944007" w:rsidR="006E3458" w:rsidRDefault="00AA71E6" w:rsidP="006E3458">
      <w:pPr>
        <w:pStyle w:val="ListBullet"/>
      </w:pPr>
      <w:r>
        <w:t>M</w:t>
      </w:r>
      <w:r w:rsidR="007E3AF6">
        <w:t>ollusc toxicity values ranged from 1</w:t>
      </w:r>
      <w:r w:rsidR="00E4558B">
        <w:t> </w:t>
      </w:r>
      <w:r w:rsidR="007E3AF6">
        <w:t>000</w:t>
      </w:r>
      <w:r>
        <w:t> µg/L</w:t>
      </w:r>
      <w:r w:rsidR="007E3AF6">
        <w:t xml:space="preserve"> to 3</w:t>
      </w:r>
      <w:r w:rsidR="00E4558B">
        <w:t> </w:t>
      </w:r>
      <w:r w:rsidR="007E3AF6">
        <w:t>700</w:t>
      </w:r>
      <w:r w:rsidR="00E4558B">
        <w:t> µ</w:t>
      </w:r>
      <w:r w:rsidR="007E3AF6">
        <w:t xml:space="preserve">g/L for </w:t>
      </w:r>
      <w:r w:rsidR="007E3AF6" w:rsidRPr="00AA71E6">
        <w:rPr>
          <w:i/>
          <w:iCs/>
        </w:rPr>
        <w:t>Crassostrea virginica</w:t>
      </w:r>
      <w:r w:rsidR="007E3AF6">
        <w:t xml:space="preserve"> (USEPA 2015). </w:t>
      </w:r>
    </w:p>
    <w:p w14:paraId="1608A4B3" w14:textId="487EE5DD" w:rsidR="006E3458" w:rsidRDefault="007E3AF6" w:rsidP="006E3458">
      <w:pPr>
        <w:pStyle w:val="ListBullet"/>
      </w:pPr>
      <w:r>
        <w:t xml:space="preserve">Crustaceans </w:t>
      </w:r>
      <w:r w:rsidR="001D37A9">
        <w:t>appeared</w:t>
      </w:r>
      <w:r>
        <w:t xml:space="preserve"> less sensitive than the other heterotrophs</w:t>
      </w:r>
      <w:r w:rsidR="00AA71E6">
        <w:t>,</w:t>
      </w:r>
      <w:r>
        <w:t xml:space="preserve"> having toxicity values that ranged </w:t>
      </w:r>
      <w:r w:rsidRPr="003C6163">
        <w:t xml:space="preserve">from </w:t>
      </w:r>
      <w:r w:rsidR="002F7CBA" w:rsidRPr="003C6163">
        <w:t>75</w:t>
      </w:r>
      <w:r w:rsidR="00C45660">
        <w:t> </w:t>
      </w:r>
      <w:r w:rsidR="002F7CBA" w:rsidRPr="003C6163">
        <w:t>000</w:t>
      </w:r>
      <w:r w:rsidR="00E4558B" w:rsidRPr="003C6163">
        <w:t> µ</w:t>
      </w:r>
      <w:r w:rsidRPr="003C6163">
        <w:t xml:space="preserve">g/L for </w:t>
      </w:r>
      <w:r w:rsidR="00CB0324" w:rsidRPr="003C6163">
        <w:rPr>
          <w:i/>
          <w:iCs/>
        </w:rPr>
        <w:t xml:space="preserve">Penaeus </w:t>
      </w:r>
      <w:proofErr w:type="spellStart"/>
      <w:r w:rsidR="00CB0324" w:rsidRPr="003C6163">
        <w:rPr>
          <w:i/>
          <w:iCs/>
        </w:rPr>
        <w:t>du</w:t>
      </w:r>
      <w:r w:rsidR="00C45660">
        <w:rPr>
          <w:i/>
          <w:iCs/>
        </w:rPr>
        <w:t>o</w:t>
      </w:r>
      <w:r w:rsidR="00CB0324" w:rsidRPr="003C6163">
        <w:rPr>
          <w:i/>
          <w:iCs/>
        </w:rPr>
        <w:t>rarum</w:t>
      </w:r>
      <w:proofErr w:type="spellEnd"/>
      <w:r w:rsidRPr="003C6163">
        <w:t xml:space="preserve"> (USEPA 2015)</w:t>
      </w:r>
      <w:r>
        <w:t xml:space="preserve"> to </w:t>
      </w:r>
      <w:r w:rsidR="00CB09D3">
        <w:t>1</w:t>
      </w:r>
      <w:r w:rsidR="00C45660">
        <w:t> </w:t>
      </w:r>
      <w:r w:rsidR="00CB09D3">
        <w:t>000</w:t>
      </w:r>
      <w:r w:rsidR="00C45660">
        <w:t> </w:t>
      </w:r>
      <w:r w:rsidR="00CB09D3">
        <w:t>000</w:t>
      </w:r>
      <w:r w:rsidR="00E4558B">
        <w:t> µ</w:t>
      </w:r>
      <w:r>
        <w:t xml:space="preserve">g/L for </w:t>
      </w:r>
      <w:proofErr w:type="spellStart"/>
      <w:r w:rsidR="00290458">
        <w:rPr>
          <w:i/>
          <w:iCs/>
        </w:rPr>
        <w:t>Neopanope</w:t>
      </w:r>
      <w:proofErr w:type="spellEnd"/>
      <w:r w:rsidR="00290458">
        <w:rPr>
          <w:i/>
          <w:iCs/>
        </w:rPr>
        <w:t xml:space="preserve"> texana</w:t>
      </w:r>
      <w:r>
        <w:t xml:space="preserve"> (USEPA 2015). </w:t>
      </w:r>
    </w:p>
    <w:p w14:paraId="523F25B7" w14:textId="47F1C921" w:rsidR="007E3AF6" w:rsidRPr="007E3AF6" w:rsidRDefault="007E3AF6" w:rsidP="007E3AF6">
      <w:r>
        <w:t>Although behavioural and biochemical effects of simazine on heterotroph</w:t>
      </w:r>
      <w:r w:rsidR="001D37A9">
        <w:t>s</w:t>
      </w:r>
      <w:r>
        <w:t xml:space="preserve"> have been reported at very low concentrations (e.g. Moore and Lower </w:t>
      </w:r>
      <w:r w:rsidRPr="007E3AF6">
        <w:t>2001; Section</w:t>
      </w:r>
      <w:r w:rsidR="00073850">
        <w:t> </w:t>
      </w:r>
      <w:r w:rsidR="00073850">
        <w:fldChar w:fldCharType="begin"/>
      </w:r>
      <w:r w:rsidR="00073850">
        <w:instrText xml:space="preserve"> REF _Ref185509422 \r \h </w:instrText>
      </w:r>
      <w:r w:rsidR="00073850">
        <w:fldChar w:fldCharType="separate"/>
      </w:r>
      <w:r w:rsidR="00E74306">
        <w:t>2.1</w:t>
      </w:r>
      <w:r w:rsidR="00073850">
        <w:fldChar w:fldCharType="end"/>
      </w:r>
      <w:r w:rsidRPr="007E3AF6">
        <w:t xml:space="preserve">), the ecological relevance of these endpoints is unclear. Consequently, such data </w:t>
      </w:r>
      <w:r w:rsidR="00AB2744">
        <w:t>were</w:t>
      </w:r>
      <w:r w:rsidRPr="007E3AF6">
        <w:t xml:space="preserve"> not used to derive</w:t>
      </w:r>
      <w:r w:rsidR="00AB2744">
        <w:t xml:space="preserve"> the</w:t>
      </w:r>
      <w:r w:rsidRPr="007E3AF6">
        <w:t xml:space="preserve"> DGVs (as per Warne et al. 2018).</w:t>
      </w:r>
    </w:p>
    <w:p w14:paraId="22D8B396" w14:textId="41A91598" w:rsidR="00A47617" w:rsidRPr="007E3AF6" w:rsidRDefault="007B3976" w:rsidP="0053068D">
      <w:pPr>
        <w:pStyle w:val="Heading2"/>
      </w:pPr>
      <w:bookmarkStart w:id="13" w:name="_Ref90985848"/>
      <w:bookmarkStart w:id="14" w:name="_Toc189412377"/>
      <w:r w:rsidRPr="007E3AF6">
        <w:t>Fac</w:t>
      </w:r>
      <w:r w:rsidR="00A47617" w:rsidRPr="007E3AF6">
        <w:t>tors affecting toxicity</w:t>
      </w:r>
      <w:bookmarkEnd w:id="13"/>
      <w:bookmarkEnd w:id="14"/>
    </w:p>
    <w:p w14:paraId="2A98D31F" w14:textId="0A8B207C" w:rsidR="007E3AF6" w:rsidRPr="004805FA" w:rsidRDefault="007E3AF6" w:rsidP="000E52A2">
      <w:r w:rsidRPr="007E3AF6">
        <w:t>As with many organic chemicals, it might be expected that dissolved and particulate organic matter and suspended solids would affect simazine bioavailability and toxicity. However, any such effect would be relatively minor given the relatively low log</w:t>
      </w:r>
      <w:r w:rsidR="009E7BD4">
        <w:t> </w:t>
      </w:r>
      <w:r w:rsidRPr="007E3AF6">
        <w:t>K</w:t>
      </w:r>
      <w:r w:rsidRPr="00EC0891">
        <w:rPr>
          <w:vertAlign w:val="subscript"/>
        </w:rPr>
        <w:t>oc</w:t>
      </w:r>
      <w:r w:rsidRPr="007E3AF6">
        <w:t xml:space="preserve"> value of simazine. As noted in </w:t>
      </w:r>
      <w:r w:rsidR="006716BC">
        <w:t>S</w:t>
      </w:r>
      <w:r w:rsidRPr="007E3AF6">
        <w:t>ection</w:t>
      </w:r>
      <w:r w:rsidR="00073850">
        <w:t> </w:t>
      </w:r>
      <w:r w:rsidR="00073850">
        <w:fldChar w:fldCharType="begin"/>
      </w:r>
      <w:r w:rsidR="00073850">
        <w:instrText xml:space="preserve"> REF _Ref185509440 \r \h </w:instrText>
      </w:r>
      <w:r w:rsidR="00073850">
        <w:fldChar w:fldCharType="separate"/>
      </w:r>
      <w:r w:rsidR="00E74306">
        <w:t>2.1</w:t>
      </w:r>
      <w:r w:rsidR="00073850">
        <w:fldChar w:fldCharType="end"/>
      </w:r>
      <w:r w:rsidRPr="007E3AF6">
        <w:t xml:space="preserve">, one of the modes of action of simazine is to increase the formation of ROS. Given that the formation of ROS </w:t>
      </w:r>
      <w:r w:rsidR="00612872">
        <w:t>depends</w:t>
      </w:r>
      <w:r w:rsidRPr="007E3AF6">
        <w:t xml:space="preserve"> on the presence of light, it is plausible that increased turbidity (e.g. from suspended solids) could decrease simazine toxicity. </w:t>
      </w:r>
      <w:r w:rsidR="00B53B98">
        <w:t>However</w:t>
      </w:r>
      <w:r w:rsidRPr="007E3AF6">
        <w:t xml:space="preserve">, there appear to be no available published data on this potential toxicity modifying factor for simazine. The information on this potential toxicity modifying factor for other PSII herbicides is contradictory. Knauer et al. (2016) concluded that the </w:t>
      </w:r>
      <w:r w:rsidRPr="007E3AF6">
        <w:lastRenderedPageBreak/>
        <w:t xml:space="preserve">presence of suspended solids did not significantly decrease </w:t>
      </w:r>
      <w:r w:rsidR="00B53B98">
        <w:t xml:space="preserve">the </w:t>
      </w:r>
      <w:r w:rsidRPr="007E3AF6">
        <w:t xml:space="preserve">toxicity of a range of pesticides, including atrazine (a PSII herbicide) to freshwater species. In contrast, Wilkinson et al. (2017) found that decreased light </w:t>
      </w:r>
      <w:r w:rsidRPr="004805FA">
        <w:t xml:space="preserve">intensity had a significant antagonistic effect on </w:t>
      </w:r>
      <w:r w:rsidR="005A75B8">
        <w:t xml:space="preserve">the toxicity of </w:t>
      </w:r>
      <w:r w:rsidRPr="004805FA">
        <w:t xml:space="preserve">diuron (another PSII herbicide) to the seagrass </w:t>
      </w:r>
      <w:r w:rsidRPr="00B02923">
        <w:rPr>
          <w:i/>
          <w:iCs/>
        </w:rPr>
        <w:t>Halophila ovalis</w:t>
      </w:r>
      <w:r w:rsidRPr="004805FA">
        <w:t>.</w:t>
      </w:r>
    </w:p>
    <w:p w14:paraId="496E4DB8" w14:textId="51F6D880" w:rsidR="00BF0280" w:rsidRPr="004805FA" w:rsidRDefault="00A47617" w:rsidP="00A47617">
      <w:pPr>
        <w:pStyle w:val="Heading2"/>
      </w:pPr>
      <w:bookmarkStart w:id="15" w:name="_Toc189412378"/>
      <w:r w:rsidRPr="004805FA">
        <w:t>Default guideline value derivation</w:t>
      </w:r>
      <w:bookmarkEnd w:id="15"/>
    </w:p>
    <w:p w14:paraId="4797C6BF" w14:textId="56340D5C" w:rsidR="00206104" w:rsidRPr="004805FA" w:rsidRDefault="00206104" w:rsidP="00206104">
      <w:pPr>
        <w:rPr>
          <w:lang w:eastAsia="ja-JP"/>
        </w:rPr>
      </w:pPr>
      <w:r w:rsidRPr="004805FA">
        <w:rPr>
          <w:lang w:eastAsia="ja-JP"/>
        </w:rPr>
        <w:t>The DGVs were derived in accordance with the method described in Warne et al. (2018) and using Burrlioz 2.0 software.</w:t>
      </w:r>
    </w:p>
    <w:p w14:paraId="59A27BA5" w14:textId="16D09B8D" w:rsidR="00BF0280" w:rsidRPr="004805FA" w:rsidRDefault="001303C0" w:rsidP="00E245F2">
      <w:pPr>
        <w:pStyle w:val="Heading3"/>
      </w:pPr>
      <w:bookmarkStart w:id="16" w:name="_Toc189412379"/>
      <w:r w:rsidRPr="004805FA">
        <w:t>Toxicity data used in derivation</w:t>
      </w:r>
      <w:bookmarkEnd w:id="16"/>
    </w:p>
    <w:p w14:paraId="18A3C503" w14:textId="29647D60" w:rsidR="008D471B" w:rsidRDefault="008D471B" w:rsidP="00206104">
      <w:pPr>
        <w:rPr>
          <w:bCs/>
        </w:rPr>
      </w:pPr>
      <w:r>
        <w:t>Scientific literature was searched to obtain data for simazine toxicity to marine organisms.</w:t>
      </w:r>
      <w:r w:rsidR="00206104" w:rsidRPr="00A372D1">
        <w:rPr>
          <w:bCs/>
        </w:rPr>
        <w:t xml:space="preserve"> In addition, the </w:t>
      </w:r>
      <w:r w:rsidR="00790269">
        <w:rPr>
          <w:bCs/>
        </w:rPr>
        <w:t xml:space="preserve">following </w:t>
      </w:r>
      <w:r w:rsidR="00206104" w:rsidRPr="00A372D1">
        <w:rPr>
          <w:bCs/>
        </w:rPr>
        <w:t xml:space="preserve">databases </w:t>
      </w:r>
      <w:r w:rsidR="00790269">
        <w:rPr>
          <w:bCs/>
        </w:rPr>
        <w:t xml:space="preserve">were searched: </w:t>
      </w:r>
      <w:r w:rsidR="00523E52">
        <w:t>ECOTOX Knowledgebase</w:t>
      </w:r>
      <w:r w:rsidR="00523E52" w:rsidRPr="00A372D1">
        <w:rPr>
          <w:bCs/>
        </w:rPr>
        <w:t xml:space="preserve"> </w:t>
      </w:r>
      <w:r w:rsidR="00206104" w:rsidRPr="00A372D1">
        <w:rPr>
          <w:bCs/>
        </w:rPr>
        <w:t>(USEPA 2015)</w:t>
      </w:r>
      <w:r w:rsidR="00790269">
        <w:rPr>
          <w:bCs/>
        </w:rPr>
        <w:t>;</w:t>
      </w:r>
      <w:r w:rsidR="00206104" w:rsidRPr="00A372D1">
        <w:rPr>
          <w:bCs/>
        </w:rPr>
        <w:t xml:space="preserve"> Australasian Ecotoxicology Database (Warne et al. 1998)</w:t>
      </w:r>
      <w:r w:rsidR="00790269">
        <w:rPr>
          <w:bCs/>
        </w:rPr>
        <w:t>;</w:t>
      </w:r>
      <w:r w:rsidR="00206104" w:rsidRPr="00A372D1">
        <w:rPr>
          <w:bCs/>
        </w:rPr>
        <w:t xml:space="preserve"> and ANZECC</w:t>
      </w:r>
      <w:r w:rsidR="00EE3239">
        <w:rPr>
          <w:bCs/>
        </w:rPr>
        <w:t>/</w:t>
      </w:r>
      <w:r w:rsidR="00206104" w:rsidRPr="00A372D1">
        <w:rPr>
          <w:bCs/>
        </w:rPr>
        <w:t>ARMCANZ (2000)</w:t>
      </w:r>
      <w:r w:rsidR="00B35BD5">
        <w:rPr>
          <w:bCs/>
        </w:rPr>
        <w:t xml:space="preserve"> and </w:t>
      </w:r>
      <w:proofErr w:type="spellStart"/>
      <w:r w:rsidR="00B35BD5" w:rsidRPr="00A372D1">
        <w:rPr>
          <w:bCs/>
        </w:rPr>
        <w:t>Sunderam</w:t>
      </w:r>
      <w:proofErr w:type="spellEnd"/>
      <w:r w:rsidR="00B35BD5" w:rsidRPr="00A372D1">
        <w:rPr>
          <w:bCs/>
        </w:rPr>
        <w:t xml:space="preserve"> et al. </w:t>
      </w:r>
      <w:r w:rsidR="00B35BD5">
        <w:rPr>
          <w:bCs/>
        </w:rPr>
        <w:t>(</w:t>
      </w:r>
      <w:r w:rsidR="00B35BD5" w:rsidRPr="00A372D1">
        <w:rPr>
          <w:bCs/>
        </w:rPr>
        <w:t>2000)</w:t>
      </w:r>
      <w:r w:rsidR="00206104" w:rsidRPr="00A372D1">
        <w:rPr>
          <w:bCs/>
        </w:rPr>
        <w:t xml:space="preserve"> toxicant databases. </w:t>
      </w:r>
      <w:r w:rsidR="00206104">
        <w:rPr>
          <w:bCs/>
        </w:rPr>
        <w:t>Compared to when the ANZECC/ARMCANZ (2000) simazine DGVs were derived, t</w:t>
      </w:r>
      <w:r w:rsidR="00206104" w:rsidRPr="00A372D1">
        <w:rPr>
          <w:bCs/>
        </w:rPr>
        <w:t>here are now more simazine toxicity data</w:t>
      </w:r>
      <w:r w:rsidR="00816731">
        <w:rPr>
          <w:bCs/>
        </w:rPr>
        <w:t xml:space="preserve"> </w:t>
      </w:r>
      <w:r w:rsidR="00DD2292" w:rsidRPr="00A372D1">
        <w:rPr>
          <w:bCs/>
        </w:rPr>
        <w:t xml:space="preserve">available </w:t>
      </w:r>
      <w:r w:rsidR="00206104" w:rsidRPr="00A372D1">
        <w:rPr>
          <w:bCs/>
        </w:rPr>
        <w:t>(</w:t>
      </w:r>
      <w:r w:rsidR="00E82378">
        <w:rPr>
          <w:bCs/>
        </w:rPr>
        <w:fldChar w:fldCharType="begin"/>
      </w:r>
      <w:r w:rsidR="00E82378">
        <w:rPr>
          <w:bCs/>
        </w:rPr>
        <w:instrText xml:space="preserve"> REF _Ref185510558 \h </w:instrText>
      </w:r>
      <w:r w:rsidR="00E82378">
        <w:rPr>
          <w:bCs/>
        </w:rPr>
      </w:r>
      <w:r w:rsidR="00E82378">
        <w:rPr>
          <w:bCs/>
        </w:rPr>
        <w:fldChar w:fldCharType="separate"/>
      </w:r>
      <w:r w:rsidR="00E74306">
        <w:t>Appendix </w:t>
      </w:r>
      <w:r w:rsidR="00E74306">
        <w:rPr>
          <w:noProof/>
        </w:rPr>
        <w:t>A</w:t>
      </w:r>
      <w:r w:rsidR="00E82378">
        <w:rPr>
          <w:bCs/>
        </w:rPr>
        <w:fldChar w:fldCharType="end"/>
      </w:r>
      <w:r w:rsidR="00206104" w:rsidRPr="00A372D1">
        <w:rPr>
          <w:bCs/>
        </w:rPr>
        <w:t xml:space="preserve">). However, </w:t>
      </w:r>
      <w:r w:rsidR="00206104">
        <w:rPr>
          <w:bCs/>
        </w:rPr>
        <w:t xml:space="preserve">chronic toxicity </w:t>
      </w:r>
      <w:r w:rsidR="00206104" w:rsidRPr="00A372D1">
        <w:rPr>
          <w:bCs/>
        </w:rPr>
        <w:t>data</w:t>
      </w:r>
      <w:r w:rsidR="00206104">
        <w:rPr>
          <w:bCs/>
        </w:rPr>
        <w:t xml:space="preserve"> are </w:t>
      </w:r>
      <w:r w:rsidR="00206104" w:rsidRPr="00A372D1">
        <w:rPr>
          <w:bCs/>
        </w:rPr>
        <w:t>still</w:t>
      </w:r>
      <w:r w:rsidR="00206104">
        <w:rPr>
          <w:bCs/>
        </w:rPr>
        <w:t xml:space="preserve"> limited (i.e. </w:t>
      </w:r>
      <w:r w:rsidR="00206104" w:rsidRPr="00CB14E8">
        <w:rPr>
          <w:bCs/>
          <w:i/>
          <w:iCs/>
        </w:rPr>
        <w:t>n</w:t>
      </w:r>
      <w:r w:rsidR="00206104">
        <w:rPr>
          <w:bCs/>
        </w:rPr>
        <w:t> = </w:t>
      </w:r>
      <w:r w:rsidR="008D5184">
        <w:rPr>
          <w:bCs/>
        </w:rPr>
        <w:t>11</w:t>
      </w:r>
      <w:r w:rsidR="00206104">
        <w:rPr>
          <w:bCs/>
        </w:rPr>
        <w:t>)</w:t>
      </w:r>
      <w:r w:rsidR="00BA0814">
        <w:rPr>
          <w:bCs/>
        </w:rPr>
        <w:t>.</w:t>
      </w:r>
      <w:r w:rsidR="00206104">
        <w:rPr>
          <w:bCs/>
        </w:rPr>
        <w:t xml:space="preserve"> </w:t>
      </w:r>
      <w:r w:rsidR="00C45660">
        <w:rPr>
          <w:bCs/>
        </w:rPr>
        <w:t xml:space="preserve">To derive higher reliability DGVs in the future, more chronic simazine toxicity tests with marine phototrophs and heterotrophs should be conducted. </w:t>
      </w:r>
      <w:r w:rsidR="00206104">
        <w:rPr>
          <w:bCs/>
        </w:rPr>
        <w:t xml:space="preserve">Despite </w:t>
      </w:r>
      <w:r w:rsidR="00154057">
        <w:rPr>
          <w:bCs/>
        </w:rPr>
        <w:t xml:space="preserve">this, </w:t>
      </w:r>
      <w:r w:rsidR="00206104">
        <w:rPr>
          <w:bCs/>
        </w:rPr>
        <w:t xml:space="preserve">the overall marine (acute and chronic) toxicity dataset </w:t>
      </w:r>
      <w:r w:rsidR="00206104" w:rsidRPr="00256A53">
        <w:rPr>
          <w:bCs/>
          <w:lang w:val="en-GB"/>
        </w:rPr>
        <w:t>exceeded the minimum data requirements to derive DGVs</w:t>
      </w:r>
      <w:r w:rsidR="00206104">
        <w:rPr>
          <w:bCs/>
          <w:lang w:val="en-GB"/>
        </w:rPr>
        <w:t>, and freshwater toxicity data were not required to supplement the marine dataset</w:t>
      </w:r>
      <w:r w:rsidR="00206104">
        <w:rPr>
          <w:bCs/>
        </w:rPr>
        <w:t>.</w:t>
      </w:r>
    </w:p>
    <w:p w14:paraId="49B33E38" w14:textId="2419BA73" w:rsidR="00206104" w:rsidRPr="00A372D1" w:rsidRDefault="007416F5" w:rsidP="00C20F7A">
      <w:pPr>
        <w:rPr>
          <w:bCs/>
        </w:rPr>
      </w:pPr>
      <w:r>
        <w:t>T</w:t>
      </w:r>
      <w:r w:rsidR="00206104" w:rsidRPr="00A372D1">
        <w:t xml:space="preserve">here were toxicity data </w:t>
      </w:r>
      <w:r w:rsidR="00206104">
        <w:t xml:space="preserve">(acute and chronic) </w:t>
      </w:r>
      <w:r w:rsidR="00206104" w:rsidRPr="00A372D1">
        <w:t>for 1</w:t>
      </w:r>
      <w:r w:rsidR="00E7247B">
        <w:t>4</w:t>
      </w:r>
      <w:r w:rsidR="00EE3239">
        <w:t> </w:t>
      </w:r>
      <w:r w:rsidR="00206104" w:rsidRPr="00A372D1">
        <w:t>marine species (</w:t>
      </w:r>
      <w:r w:rsidR="00206104">
        <w:t>10</w:t>
      </w:r>
      <w:r w:rsidR="00EE3239">
        <w:t> </w:t>
      </w:r>
      <w:r w:rsidR="00206104">
        <w:t>phototroph</w:t>
      </w:r>
      <w:r w:rsidR="00C20F7A">
        <w:t>s</w:t>
      </w:r>
      <w:r w:rsidR="00206104" w:rsidRPr="00A372D1">
        <w:t xml:space="preserve"> and </w:t>
      </w:r>
      <w:r w:rsidR="008B78B9">
        <w:t>four</w:t>
      </w:r>
      <w:r w:rsidR="00D770DC">
        <w:t> </w:t>
      </w:r>
      <w:r w:rsidR="00206104">
        <w:t>heterotroph</w:t>
      </w:r>
      <w:r w:rsidR="00C20F7A">
        <w:t>s</w:t>
      </w:r>
      <w:r w:rsidR="00206104" w:rsidRPr="00A372D1">
        <w:t xml:space="preserve"> </w:t>
      </w:r>
      <w:r w:rsidR="00206104">
        <w:t>representing</w:t>
      </w:r>
      <w:r w:rsidR="00206104" w:rsidRPr="00A372D1">
        <w:t xml:space="preserve"> seven phyla and </w:t>
      </w:r>
      <w:r w:rsidR="00206104">
        <w:t>1</w:t>
      </w:r>
      <w:r w:rsidR="008B78B9">
        <w:t>1</w:t>
      </w:r>
      <w:r w:rsidR="00EE3239">
        <w:t> </w:t>
      </w:r>
      <w:r w:rsidR="00206104" w:rsidRPr="00A372D1">
        <w:t xml:space="preserve">classes) that passed the screening and quality assessment processes. </w:t>
      </w:r>
      <w:r w:rsidR="00206104" w:rsidRPr="00A372D1">
        <w:rPr>
          <w:bCs/>
        </w:rPr>
        <w:t>The represented phyla were</w:t>
      </w:r>
      <w:r w:rsidR="00206104">
        <w:rPr>
          <w:bCs/>
        </w:rPr>
        <w:t xml:space="preserve"> </w:t>
      </w:r>
      <w:r w:rsidR="00206104" w:rsidRPr="00A372D1">
        <w:rPr>
          <w:bCs/>
        </w:rPr>
        <w:t xml:space="preserve">Arthropoda, Bacillariophyta, Chlorophyta, </w:t>
      </w:r>
      <w:proofErr w:type="spellStart"/>
      <w:r w:rsidR="00206104" w:rsidRPr="00A372D1">
        <w:rPr>
          <w:bCs/>
        </w:rPr>
        <w:t>Cryptophyta</w:t>
      </w:r>
      <w:proofErr w:type="spellEnd"/>
      <w:r w:rsidR="00206104" w:rsidRPr="00A372D1">
        <w:rPr>
          <w:bCs/>
        </w:rPr>
        <w:t>,</w:t>
      </w:r>
      <w:r w:rsidR="00206104">
        <w:rPr>
          <w:bCs/>
        </w:rPr>
        <w:t xml:space="preserve"> </w:t>
      </w:r>
      <w:proofErr w:type="spellStart"/>
      <w:r w:rsidR="00206104">
        <w:rPr>
          <w:bCs/>
        </w:rPr>
        <w:t>Dinoflagellata</w:t>
      </w:r>
      <w:proofErr w:type="spellEnd"/>
      <w:r w:rsidR="00206104">
        <w:rPr>
          <w:bCs/>
        </w:rPr>
        <w:t xml:space="preserve">, </w:t>
      </w:r>
      <w:proofErr w:type="spellStart"/>
      <w:r w:rsidR="00206104" w:rsidRPr="00A372D1">
        <w:rPr>
          <w:bCs/>
        </w:rPr>
        <w:t>Haptophyta</w:t>
      </w:r>
      <w:proofErr w:type="spellEnd"/>
      <w:r w:rsidR="00206104">
        <w:rPr>
          <w:bCs/>
        </w:rPr>
        <w:t xml:space="preserve"> and</w:t>
      </w:r>
      <w:r w:rsidR="00206104" w:rsidRPr="00A372D1">
        <w:rPr>
          <w:bCs/>
        </w:rPr>
        <w:t xml:space="preserve"> Mollusca. The 1</w:t>
      </w:r>
      <w:r w:rsidR="00531A43">
        <w:rPr>
          <w:bCs/>
        </w:rPr>
        <w:t>1</w:t>
      </w:r>
      <w:r w:rsidR="00EE3239">
        <w:rPr>
          <w:bCs/>
        </w:rPr>
        <w:t> </w:t>
      </w:r>
      <w:r w:rsidR="00206104" w:rsidRPr="00A372D1">
        <w:rPr>
          <w:bCs/>
        </w:rPr>
        <w:t>classes were B</w:t>
      </w:r>
      <w:r w:rsidR="00206104" w:rsidRPr="00A372D1">
        <w:t>acillariophyceae (diatoms;</w:t>
      </w:r>
      <w:r w:rsidR="00206104" w:rsidRPr="00A372D1">
        <w:rPr>
          <w:bCs/>
        </w:rPr>
        <w:t xml:space="preserve"> major group of algae), Bivalvia (group of molluscs), Chlorophyceae (major group of green microalgae), </w:t>
      </w:r>
      <w:proofErr w:type="spellStart"/>
      <w:r w:rsidR="00206104" w:rsidRPr="00316F58">
        <w:rPr>
          <w:bCs/>
        </w:rPr>
        <w:t>Chlorodendrophyceae</w:t>
      </w:r>
      <w:proofErr w:type="spellEnd"/>
      <w:r w:rsidR="00206104" w:rsidRPr="00316F58">
        <w:rPr>
          <w:bCs/>
        </w:rPr>
        <w:t xml:space="preserve"> </w:t>
      </w:r>
      <w:r w:rsidR="00206104">
        <w:rPr>
          <w:bCs/>
        </w:rPr>
        <w:t xml:space="preserve">(major group of </w:t>
      </w:r>
      <w:proofErr w:type="spellStart"/>
      <w:r w:rsidR="00206104">
        <w:rPr>
          <w:bCs/>
        </w:rPr>
        <w:t>chlorophyta</w:t>
      </w:r>
      <w:proofErr w:type="spellEnd"/>
      <w:r w:rsidR="00206104">
        <w:rPr>
          <w:bCs/>
        </w:rPr>
        <w:t xml:space="preserve">), </w:t>
      </w:r>
      <w:proofErr w:type="spellStart"/>
      <w:r w:rsidR="00206104" w:rsidRPr="00A372D1">
        <w:rPr>
          <w:bCs/>
        </w:rPr>
        <w:t>Coccolithophyceae</w:t>
      </w:r>
      <w:proofErr w:type="spellEnd"/>
      <w:r w:rsidR="00206104" w:rsidRPr="00A372D1">
        <w:rPr>
          <w:bCs/>
        </w:rPr>
        <w:t xml:space="preserve"> (class of yellow algae), </w:t>
      </w:r>
      <w:proofErr w:type="spellStart"/>
      <w:r w:rsidR="00206104" w:rsidRPr="00A372D1">
        <w:rPr>
          <w:bCs/>
        </w:rPr>
        <w:t>Cryptophyceae</w:t>
      </w:r>
      <w:proofErr w:type="spellEnd"/>
      <w:r w:rsidR="00206104" w:rsidRPr="00A372D1">
        <w:rPr>
          <w:bCs/>
        </w:rPr>
        <w:t xml:space="preserve"> (group of algae commonly known as cryptomonads), Dino</w:t>
      </w:r>
      <w:r w:rsidR="00206104">
        <w:rPr>
          <w:bCs/>
        </w:rPr>
        <w:t xml:space="preserve">phyceae </w:t>
      </w:r>
      <w:r w:rsidR="00206104" w:rsidRPr="00A372D1">
        <w:rPr>
          <w:bCs/>
        </w:rPr>
        <w:t xml:space="preserve">(class of dinoflagellates), Malacostraca (larger group of crustaceans), </w:t>
      </w:r>
      <w:proofErr w:type="spellStart"/>
      <w:r w:rsidR="00206104" w:rsidRPr="00A372D1">
        <w:rPr>
          <w:bCs/>
        </w:rPr>
        <w:t>Mediophyceae</w:t>
      </w:r>
      <w:proofErr w:type="spellEnd"/>
      <w:r w:rsidR="00206104" w:rsidRPr="00A372D1">
        <w:rPr>
          <w:bCs/>
        </w:rPr>
        <w:t xml:space="preserve"> (alga</w:t>
      </w:r>
      <w:r w:rsidR="00AE69F3">
        <w:rPr>
          <w:bCs/>
        </w:rPr>
        <w:t>e</w:t>
      </w:r>
      <w:r w:rsidR="00206104" w:rsidRPr="00A372D1">
        <w:rPr>
          <w:bCs/>
        </w:rPr>
        <w:t xml:space="preserve"> group), </w:t>
      </w:r>
      <w:proofErr w:type="spellStart"/>
      <w:r w:rsidR="00206104" w:rsidRPr="00A372D1">
        <w:rPr>
          <w:bCs/>
        </w:rPr>
        <w:t>Prymnesiophyceae</w:t>
      </w:r>
      <w:proofErr w:type="spellEnd"/>
      <w:r w:rsidR="00206104" w:rsidRPr="00A372D1">
        <w:rPr>
          <w:bCs/>
        </w:rPr>
        <w:t xml:space="preserve"> (group of haptophyt</w:t>
      </w:r>
      <w:r w:rsidR="00206104">
        <w:rPr>
          <w:bCs/>
        </w:rPr>
        <w:t>es</w:t>
      </w:r>
      <w:r w:rsidR="00206104" w:rsidRPr="00A372D1">
        <w:rPr>
          <w:bCs/>
        </w:rPr>
        <w:t xml:space="preserve">) and </w:t>
      </w:r>
      <w:proofErr w:type="spellStart"/>
      <w:r w:rsidR="00206104" w:rsidRPr="005649F9">
        <w:t>Chlorodendrophyceae</w:t>
      </w:r>
      <w:proofErr w:type="spellEnd"/>
      <w:r w:rsidR="00206104" w:rsidRPr="00A372D1">
        <w:rPr>
          <w:bCs/>
        </w:rPr>
        <w:t xml:space="preserve"> (</w:t>
      </w:r>
      <w:r w:rsidR="00206104" w:rsidRPr="0028729F">
        <w:rPr>
          <w:bCs/>
          <w:iCs/>
        </w:rPr>
        <w:t xml:space="preserve">group of green </w:t>
      </w:r>
      <w:r w:rsidR="004276FB">
        <w:rPr>
          <w:bCs/>
          <w:iCs/>
        </w:rPr>
        <w:t>micro</w:t>
      </w:r>
      <w:r w:rsidR="00206104" w:rsidRPr="0028729F">
        <w:rPr>
          <w:bCs/>
          <w:iCs/>
        </w:rPr>
        <w:t>algae</w:t>
      </w:r>
      <w:r w:rsidR="00206104" w:rsidRPr="00A372D1">
        <w:rPr>
          <w:bCs/>
        </w:rPr>
        <w:t xml:space="preserve">). </w:t>
      </w:r>
      <w:r w:rsidR="00206104">
        <w:rPr>
          <w:bCs/>
        </w:rPr>
        <w:t>The dataset consisted of chronic toxicity data for 11</w:t>
      </w:r>
      <w:r w:rsidR="00EE3239">
        <w:rPr>
          <w:bCs/>
        </w:rPr>
        <w:t> </w:t>
      </w:r>
      <w:r w:rsidR="00206104">
        <w:rPr>
          <w:bCs/>
        </w:rPr>
        <w:t>species (10</w:t>
      </w:r>
      <w:r w:rsidR="00EE3239">
        <w:rPr>
          <w:bCs/>
        </w:rPr>
        <w:t> </w:t>
      </w:r>
      <w:r w:rsidR="00206104">
        <w:rPr>
          <w:bCs/>
        </w:rPr>
        <w:t>phototrophs and one</w:t>
      </w:r>
      <w:r w:rsidR="00D770DC">
        <w:rPr>
          <w:bCs/>
        </w:rPr>
        <w:t> </w:t>
      </w:r>
      <w:r w:rsidR="00206104">
        <w:rPr>
          <w:bCs/>
        </w:rPr>
        <w:t xml:space="preserve">heterotroph) and acute toxicity data for </w:t>
      </w:r>
      <w:r w:rsidR="008E1363">
        <w:rPr>
          <w:bCs/>
        </w:rPr>
        <w:t>three</w:t>
      </w:r>
      <w:r w:rsidR="00D770DC">
        <w:rPr>
          <w:bCs/>
        </w:rPr>
        <w:t> s</w:t>
      </w:r>
      <w:r>
        <w:rPr>
          <w:bCs/>
        </w:rPr>
        <w:t>pecies</w:t>
      </w:r>
      <w:r w:rsidR="00206104">
        <w:rPr>
          <w:bCs/>
        </w:rPr>
        <w:t xml:space="preserve"> </w:t>
      </w:r>
      <w:r>
        <w:rPr>
          <w:bCs/>
        </w:rPr>
        <w:t>(</w:t>
      </w:r>
      <w:r w:rsidR="00206104">
        <w:rPr>
          <w:bCs/>
        </w:rPr>
        <w:t>heterotroph</w:t>
      </w:r>
      <w:r w:rsidR="00B57877">
        <w:rPr>
          <w:bCs/>
        </w:rPr>
        <w:t>s</w:t>
      </w:r>
      <w:r>
        <w:rPr>
          <w:bCs/>
        </w:rPr>
        <w:t>)</w:t>
      </w:r>
      <w:r w:rsidR="00206104">
        <w:rPr>
          <w:bCs/>
        </w:rPr>
        <w:t>.</w:t>
      </w:r>
    </w:p>
    <w:p w14:paraId="2E7DFDD0" w14:textId="3E5C2E13" w:rsidR="008B4569" w:rsidRDefault="00206104" w:rsidP="00474612">
      <w:pPr>
        <w:rPr>
          <w:bCs/>
        </w:rPr>
      </w:pPr>
      <w:r w:rsidRPr="00A372D1">
        <w:t>Normally, species classified only to genus (</w:t>
      </w:r>
      <w:r>
        <w:t xml:space="preserve">e.g. </w:t>
      </w:r>
      <w:proofErr w:type="spellStart"/>
      <w:r w:rsidRPr="003233CB">
        <w:rPr>
          <w:rFonts w:cstheme="minorHAnsi"/>
          <w:i/>
        </w:rPr>
        <w:t>Chlorococcum</w:t>
      </w:r>
      <w:proofErr w:type="spellEnd"/>
      <w:r w:rsidR="00474612">
        <w:rPr>
          <w:rFonts w:cstheme="minorHAnsi"/>
          <w:i/>
        </w:rPr>
        <w:t> </w:t>
      </w:r>
      <w:r w:rsidRPr="00A372D1">
        <w:t xml:space="preserve">sp.) are not used in the DGV derivation, as ambiguity at the genus level could result in more than one toxicity value being assigned to a single species. However, visual identification and classification of species within a genus, particularly for microalgae, can be difficult for some genera due to their lack of characteristic morphological features (Kessler and Huss 1992). </w:t>
      </w:r>
      <w:r>
        <w:t>W</w:t>
      </w:r>
      <w:r w:rsidRPr="00A372D1">
        <w:t xml:space="preserve">hen there are no other data for species belonging to the same genus (i.e. there is no chance of duplicating a species) and/or when there are limited toxicity data available, </w:t>
      </w:r>
      <w:r>
        <w:t>genus level</w:t>
      </w:r>
      <w:r w:rsidRPr="00A372D1">
        <w:t xml:space="preserve"> data </w:t>
      </w:r>
      <w:r>
        <w:t>can</w:t>
      </w:r>
      <w:r w:rsidRPr="00A372D1">
        <w:t xml:space="preserve"> be included in the</w:t>
      </w:r>
      <w:r w:rsidR="00D44066">
        <w:t xml:space="preserve"> DGV</w:t>
      </w:r>
      <w:r w:rsidRPr="00A372D1">
        <w:t xml:space="preserve"> derivation. </w:t>
      </w:r>
      <w:r>
        <w:t xml:space="preserve">Data for </w:t>
      </w:r>
      <w:r w:rsidRPr="00A372D1">
        <w:t>the green alga</w:t>
      </w:r>
      <w:r>
        <w:t>e</w:t>
      </w:r>
      <w:r w:rsidRPr="00A372D1">
        <w:t xml:space="preserve"> </w:t>
      </w:r>
      <w:proofErr w:type="spellStart"/>
      <w:r w:rsidRPr="00A372D1">
        <w:rPr>
          <w:i/>
        </w:rPr>
        <w:t>Chlorococcum</w:t>
      </w:r>
      <w:proofErr w:type="spellEnd"/>
      <w:r w:rsidR="009D70E0">
        <w:rPr>
          <w:i/>
        </w:rPr>
        <w:t> </w:t>
      </w:r>
      <w:r w:rsidRPr="00EB0626">
        <w:t>sp</w:t>
      </w:r>
      <w:r w:rsidRPr="00A372D1">
        <w:rPr>
          <w:i/>
        </w:rPr>
        <w:t>.</w:t>
      </w:r>
      <w:r w:rsidRPr="00A372D1">
        <w:t xml:space="preserve"> and </w:t>
      </w:r>
      <w:proofErr w:type="spellStart"/>
      <w:r w:rsidRPr="00A372D1">
        <w:rPr>
          <w:i/>
        </w:rPr>
        <w:t>Tetraselmis</w:t>
      </w:r>
      <w:proofErr w:type="spellEnd"/>
      <w:r w:rsidR="009D70E0">
        <w:rPr>
          <w:i/>
        </w:rPr>
        <w:t> </w:t>
      </w:r>
      <w:r w:rsidRPr="00EB0626">
        <w:t>sp.</w:t>
      </w:r>
      <w:r w:rsidRPr="00A372D1">
        <w:t xml:space="preserve"> were </w:t>
      </w:r>
      <w:r>
        <w:t>considered acceptable</w:t>
      </w:r>
      <w:r w:rsidRPr="00A372D1">
        <w:t xml:space="preserve"> </w:t>
      </w:r>
      <w:r>
        <w:t xml:space="preserve">for inclusion in the final toxicity dataset </w:t>
      </w:r>
      <w:r w:rsidRPr="00A372D1">
        <w:t xml:space="preserve">as no other toxicity data for either genus were </w:t>
      </w:r>
      <w:r>
        <w:t>available</w:t>
      </w:r>
      <w:r w:rsidRPr="00A372D1">
        <w:t>.</w:t>
      </w:r>
      <w:r>
        <w:t xml:space="preserve"> Additionally, </w:t>
      </w:r>
      <w:r>
        <w:rPr>
          <w:bCs/>
        </w:rPr>
        <w:t xml:space="preserve">there were two acute LC50 </w:t>
      </w:r>
      <w:r w:rsidRPr="005B560F">
        <w:rPr>
          <w:bCs/>
        </w:rPr>
        <w:t xml:space="preserve">values </w:t>
      </w:r>
      <w:r>
        <w:rPr>
          <w:bCs/>
        </w:rPr>
        <w:lastRenderedPageBreak/>
        <w:t>repor</w:t>
      </w:r>
      <w:r w:rsidRPr="005B560F">
        <w:rPr>
          <w:bCs/>
        </w:rPr>
        <w:t xml:space="preserve">ted as </w:t>
      </w:r>
      <w:r>
        <w:rPr>
          <w:bCs/>
        </w:rPr>
        <w:t>‘greater than’ (&gt;)</w:t>
      </w:r>
      <w:r w:rsidRPr="005B560F">
        <w:rPr>
          <w:bCs/>
        </w:rPr>
        <w:t xml:space="preserve"> values</w:t>
      </w:r>
      <w:r>
        <w:rPr>
          <w:bCs/>
        </w:rPr>
        <w:t xml:space="preserve"> that were considered acceptable. </w:t>
      </w:r>
      <w:r w:rsidRPr="005B560F">
        <w:rPr>
          <w:bCs/>
        </w:rPr>
        <w:t>Warne et al. (2018) state that &gt;</w:t>
      </w:r>
      <w:r w:rsidR="00881D32">
        <w:rPr>
          <w:bCs/>
        </w:rPr>
        <w:t> </w:t>
      </w:r>
      <w:r w:rsidRPr="005B560F">
        <w:rPr>
          <w:bCs/>
        </w:rPr>
        <w:t>toxicity values can be used provided that</w:t>
      </w:r>
      <w:r w:rsidR="008B4569">
        <w:rPr>
          <w:bCs/>
        </w:rPr>
        <w:t>:</w:t>
      </w:r>
    </w:p>
    <w:p w14:paraId="30288173" w14:textId="3C940F9E" w:rsidR="008B4569" w:rsidRDefault="00206104" w:rsidP="008B4569">
      <w:pPr>
        <w:pStyle w:val="ListBullet"/>
      </w:pPr>
      <w:r w:rsidRPr="005B560F">
        <w:t>there are no available normal (not &gt; or &lt;) values for the same combination of species, measure and en</w:t>
      </w:r>
      <w:r w:rsidRPr="000020CD">
        <w:t>dpoint</w:t>
      </w:r>
    </w:p>
    <w:p w14:paraId="17A67CE9" w14:textId="1463E1B2" w:rsidR="008B4569" w:rsidRDefault="00206104" w:rsidP="008B4569">
      <w:pPr>
        <w:pStyle w:val="ListBullet"/>
        <w:rPr>
          <w:bCs/>
        </w:rPr>
      </w:pPr>
      <w:r>
        <w:rPr>
          <w:bCs/>
        </w:rPr>
        <w:t xml:space="preserve">they are used as is </w:t>
      </w:r>
      <w:r w:rsidR="008B4569">
        <w:rPr>
          <w:bCs/>
        </w:rPr>
        <w:t>(</w:t>
      </w:r>
      <w:r>
        <w:rPr>
          <w:bCs/>
        </w:rPr>
        <w:t>e.g. &gt; 50</w:t>
      </w:r>
      <w:r w:rsidR="006A7E5D">
        <w:rPr>
          <w:bCs/>
        </w:rPr>
        <w:t> </w:t>
      </w:r>
      <w:r>
        <w:rPr>
          <w:bCs/>
        </w:rPr>
        <w:t>µg/L would be changed to 50</w:t>
      </w:r>
      <w:r w:rsidR="006A7E5D">
        <w:rPr>
          <w:bCs/>
        </w:rPr>
        <w:t> </w:t>
      </w:r>
      <w:r>
        <w:rPr>
          <w:bCs/>
        </w:rPr>
        <w:t>µg/L in all subsequent calculations</w:t>
      </w:r>
      <w:r w:rsidR="008B4569">
        <w:rPr>
          <w:bCs/>
        </w:rPr>
        <w:t>)</w:t>
      </w:r>
      <w:r>
        <w:rPr>
          <w:bCs/>
        </w:rPr>
        <w:t xml:space="preserve">. </w:t>
      </w:r>
    </w:p>
    <w:p w14:paraId="7C66D8C9" w14:textId="1B643A73" w:rsidR="00206104" w:rsidRPr="00A372D1" w:rsidRDefault="00206104" w:rsidP="00474612">
      <w:r>
        <w:rPr>
          <w:bCs/>
        </w:rPr>
        <w:t xml:space="preserve">As there were no other available toxicity data for </w:t>
      </w:r>
      <w:proofErr w:type="spellStart"/>
      <w:r w:rsidRPr="00844E1F">
        <w:rPr>
          <w:bCs/>
          <w:i/>
          <w:iCs/>
        </w:rPr>
        <w:t>Neopanope</w:t>
      </w:r>
      <w:proofErr w:type="spellEnd"/>
      <w:r w:rsidRPr="00844E1F">
        <w:rPr>
          <w:bCs/>
          <w:i/>
          <w:iCs/>
        </w:rPr>
        <w:t xml:space="preserve"> texana</w:t>
      </w:r>
      <w:r>
        <w:rPr>
          <w:bCs/>
        </w:rPr>
        <w:t xml:space="preserve"> and </w:t>
      </w:r>
      <w:proofErr w:type="spellStart"/>
      <w:r w:rsidRPr="00844E1F">
        <w:rPr>
          <w:bCs/>
          <w:i/>
          <w:iCs/>
        </w:rPr>
        <w:t>Palaemonetes</w:t>
      </w:r>
      <w:proofErr w:type="spellEnd"/>
      <w:r w:rsidRPr="00844E1F">
        <w:rPr>
          <w:bCs/>
          <w:i/>
          <w:iCs/>
        </w:rPr>
        <w:t xml:space="preserve"> </w:t>
      </w:r>
      <w:proofErr w:type="spellStart"/>
      <w:r w:rsidRPr="00844E1F">
        <w:rPr>
          <w:bCs/>
          <w:i/>
          <w:iCs/>
        </w:rPr>
        <w:t>kadiakensis</w:t>
      </w:r>
      <w:proofErr w:type="spellEnd"/>
      <w:r>
        <w:rPr>
          <w:bCs/>
        </w:rPr>
        <w:t xml:space="preserve">, their &gt; LC50 values were included in the final dataset. Such data are deemed acceptable for use because they provide </w:t>
      </w:r>
      <w:r w:rsidR="004231F3">
        <w:rPr>
          <w:bCs/>
        </w:rPr>
        <w:t>a conservative</w:t>
      </w:r>
      <w:r>
        <w:rPr>
          <w:bCs/>
        </w:rPr>
        <w:t xml:space="preserve"> estimate of the toxicity.</w:t>
      </w:r>
    </w:p>
    <w:p w14:paraId="10978D2F" w14:textId="34E6A611" w:rsidR="00206104" w:rsidRDefault="00206104" w:rsidP="00206104">
      <w:r w:rsidRPr="00AE5F93">
        <w:t xml:space="preserve">As noted in </w:t>
      </w:r>
      <w:r w:rsidR="00E17015">
        <w:t>S</w:t>
      </w:r>
      <w:r w:rsidRPr="00AE5F93">
        <w:t>ection</w:t>
      </w:r>
      <w:r w:rsidR="00257856">
        <w:t> </w:t>
      </w:r>
      <w:r w:rsidR="00257856">
        <w:fldChar w:fldCharType="begin"/>
      </w:r>
      <w:r w:rsidR="00257856">
        <w:instrText xml:space="preserve"> REF _Ref185509466 \r \h </w:instrText>
      </w:r>
      <w:r w:rsidR="00257856">
        <w:fldChar w:fldCharType="separate"/>
      </w:r>
      <w:r w:rsidR="00E74306">
        <w:t>2</w:t>
      </w:r>
      <w:r w:rsidR="00257856">
        <w:fldChar w:fldCharType="end"/>
      </w:r>
      <w:r w:rsidRPr="00AE5F93">
        <w:t>, the specific</w:t>
      </w:r>
      <w:r>
        <w:t xml:space="preserve"> </w:t>
      </w:r>
      <w:r w:rsidRPr="00697DA4">
        <w:t xml:space="preserve">mode of action of </w:t>
      </w:r>
      <w:r>
        <w:t>simazine on plant photosynthesis</w:t>
      </w:r>
      <w:r w:rsidRPr="00697DA4">
        <w:t xml:space="preserve"> </w:t>
      </w:r>
      <w:r>
        <w:t>indicates that phototroph</w:t>
      </w:r>
      <w:r w:rsidR="00E17015">
        <w:t>s</w:t>
      </w:r>
      <w:r>
        <w:t xml:space="preserve"> might</w:t>
      </w:r>
      <w:r w:rsidRPr="00697DA4">
        <w:t xml:space="preserve"> be more sensitive than </w:t>
      </w:r>
      <w:r>
        <w:t>heterotroph</w:t>
      </w:r>
      <w:r w:rsidR="00E17015">
        <w:t>s</w:t>
      </w:r>
      <w:r>
        <w:t>. To assess this possibility, a</w:t>
      </w:r>
      <w:r w:rsidRPr="00A372D1">
        <w:t xml:space="preserve"> modality assessment of the </w:t>
      </w:r>
      <w:r>
        <w:t>simazine</w:t>
      </w:r>
      <w:r w:rsidRPr="00A372D1">
        <w:t xml:space="preserve"> toxicity data (to marine and freshwater species) was undertaken according to the weight of evidence approach described by Warne et al. (2018). </w:t>
      </w:r>
      <w:r w:rsidR="00A80605">
        <w:t xml:space="preserve">Most </w:t>
      </w:r>
      <w:r w:rsidRPr="00A372D1">
        <w:t xml:space="preserve">lines of evidence supported the conclusion that the dataset was </w:t>
      </w:r>
      <w:r>
        <w:t>uni</w:t>
      </w:r>
      <w:r w:rsidRPr="00A372D1">
        <w:t xml:space="preserve">modal, with </w:t>
      </w:r>
      <w:r>
        <w:t xml:space="preserve">no clear difference </w:t>
      </w:r>
      <w:r w:rsidR="00A80605">
        <w:t xml:space="preserve">between </w:t>
      </w:r>
      <w:r>
        <w:t xml:space="preserve">the sensitivity of </w:t>
      </w:r>
      <w:r w:rsidRPr="00A372D1">
        <w:t>phototroph</w:t>
      </w:r>
      <w:r w:rsidR="00A80605">
        <w:t>s</w:t>
      </w:r>
      <w:r w:rsidRPr="00A372D1">
        <w:t xml:space="preserve"> </w:t>
      </w:r>
      <w:r>
        <w:t>and</w:t>
      </w:r>
      <w:r w:rsidRPr="00A372D1">
        <w:t xml:space="preserve"> heterotroph</w:t>
      </w:r>
      <w:r w:rsidR="00A80605">
        <w:t>s</w:t>
      </w:r>
      <w:r w:rsidRPr="00A372D1">
        <w:t xml:space="preserve"> (</w:t>
      </w:r>
      <w:r w:rsidR="00E82378">
        <w:fldChar w:fldCharType="begin"/>
      </w:r>
      <w:r w:rsidR="00E82378">
        <w:instrText xml:space="preserve"> REF _Ref185510721 \h </w:instrText>
      </w:r>
      <w:r w:rsidR="00E82378">
        <w:fldChar w:fldCharType="separate"/>
      </w:r>
      <w:r w:rsidR="00E74306">
        <w:t>Appendix </w:t>
      </w:r>
      <w:r w:rsidR="00E74306">
        <w:rPr>
          <w:noProof/>
        </w:rPr>
        <w:t>B</w:t>
      </w:r>
      <w:r w:rsidR="00E82378">
        <w:fldChar w:fldCharType="end"/>
      </w:r>
      <w:r w:rsidRPr="00A372D1">
        <w:t xml:space="preserve">). Therefore, as recommended by Warne et al. (2018), toxicity data for </w:t>
      </w:r>
      <w:r>
        <w:t>all available organisms</w:t>
      </w:r>
      <w:r w:rsidRPr="00A372D1">
        <w:t xml:space="preserve"> were used to calculate the DGVs.</w:t>
      </w:r>
    </w:p>
    <w:p w14:paraId="31CE1A4A" w14:textId="3350F8A6" w:rsidR="00611907" w:rsidRDefault="00206104" w:rsidP="00206104">
      <w:pPr>
        <w:rPr>
          <w:rFonts w:cstheme="minorHAnsi"/>
          <w:bCs/>
        </w:rPr>
      </w:pPr>
      <w:r>
        <w:t>The acceptable dataset comprised</w:t>
      </w:r>
      <w:r w:rsidRPr="00A372D1">
        <w:t xml:space="preserve"> marine </w:t>
      </w:r>
      <w:r w:rsidRPr="009532D8">
        <w:t>chronic</w:t>
      </w:r>
      <w:r>
        <w:t>, chronic estimated</w:t>
      </w:r>
      <w:r w:rsidRPr="009532D8">
        <w:t xml:space="preserve"> </w:t>
      </w:r>
      <w:r>
        <w:t xml:space="preserve">and converted acute negligible effect </w:t>
      </w:r>
      <w:r w:rsidRPr="00A372D1">
        <w:t xml:space="preserve">data </w:t>
      </w:r>
      <w:r>
        <w:t>(e.g. NOEL</w:t>
      </w:r>
      <w:r w:rsidR="0031000A">
        <w:t>/NOEC</w:t>
      </w:r>
      <w:r>
        <w:t xml:space="preserve">, NEC, EC10) </w:t>
      </w:r>
      <w:r w:rsidRPr="00A372D1">
        <w:t xml:space="preserve">for </w:t>
      </w:r>
      <w:r>
        <w:t>1</w:t>
      </w:r>
      <w:r w:rsidR="005D0C13">
        <w:t>4</w:t>
      </w:r>
      <w:r w:rsidR="002933E4">
        <w:t> </w:t>
      </w:r>
      <w:r w:rsidRPr="00A372D1">
        <w:t>species</w:t>
      </w:r>
      <w:r>
        <w:t>.</w:t>
      </w:r>
      <w:r w:rsidRPr="00A372D1">
        <w:rPr>
          <w:rFonts w:cstheme="minorHAnsi"/>
          <w:bCs/>
        </w:rPr>
        <w:t xml:space="preserve"> </w:t>
      </w:r>
      <w:r w:rsidR="00943B10">
        <w:rPr>
          <w:rFonts w:cstheme="minorHAnsi"/>
          <w:bCs/>
        </w:rPr>
        <w:t xml:space="preserve">A dataset of </w:t>
      </w:r>
      <w:r w:rsidR="00CC6BDE">
        <w:rPr>
          <w:rFonts w:cstheme="minorHAnsi"/>
          <w:bCs/>
        </w:rPr>
        <w:t>exclusively</w:t>
      </w:r>
      <w:r w:rsidR="00943B10">
        <w:rPr>
          <w:rFonts w:cstheme="minorHAnsi"/>
          <w:bCs/>
        </w:rPr>
        <w:t xml:space="preserve"> chronic negligible effect data or a combination of chronic negligible effect and measurable effect data (e.g. LOEC and EC50/LC50) was not used because the distribution of these datasets was poor (</w:t>
      </w:r>
      <w:r w:rsidR="009F710F">
        <w:rPr>
          <w:rFonts w:cstheme="minorHAnsi"/>
          <w:bCs/>
        </w:rPr>
        <w:fldChar w:fldCharType="begin"/>
      </w:r>
      <w:r w:rsidR="009F710F">
        <w:rPr>
          <w:rFonts w:cstheme="minorHAnsi"/>
          <w:bCs/>
        </w:rPr>
        <w:instrText xml:space="preserve"> REF _Ref185510781 \h </w:instrText>
      </w:r>
      <w:r w:rsidR="009F710F">
        <w:rPr>
          <w:rFonts w:cstheme="minorHAnsi"/>
          <w:bCs/>
        </w:rPr>
      </w:r>
      <w:r w:rsidR="009F710F">
        <w:rPr>
          <w:rFonts w:cstheme="minorHAnsi"/>
          <w:bCs/>
        </w:rPr>
        <w:fldChar w:fldCharType="separate"/>
      </w:r>
      <w:r w:rsidR="00E74306">
        <w:t>Appendix </w:t>
      </w:r>
      <w:r w:rsidR="00E74306">
        <w:rPr>
          <w:noProof/>
        </w:rPr>
        <w:t>C</w:t>
      </w:r>
      <w:r w:rsidR="009F710F">
        <w:rPr>
          <w:rFonts w:cstheme="minorHAnsi"/>
          <w:bCs/>
        </w:rPr>
        <w:fldChar w:fldCharType="end"/>
      </w:r>
      <w:r w:rsidR="00943B10">
        <w:rPr>
          <w:rFonts w:cstheme="minorHAnsi"/>
          <w:bCs/>
        </w:rPr>
        <w:t xml:space="preserve">). </w:t>
      </w:r>
      <w:r>
        <w:rPr>
          <w:rFonts w:cstheme="minorHAnsi"/>
          <w:bCs/>
        </w:rPr>
        <w:t xml:space="preserve">The acceptable dataset </w:t>
      </w:r>
      <w:r w:rsidRPr="00A372D1">
        <w:rPr>
          <w:rFonts w:cstheme="minorHAnsi"/>
          <w:bCs/>
        </w:rPr>
        <w:t xml:space="preserve">met the minimum data requirements (i.e. at least five species belonging to at least four phyla) to use a </w:t>
      </w:r>
      <w:r>
        <w:rPr>
          <w:rFonts w:cstheme="minorHAnsi"/>
          <w:bCs/>
        </w:rPr>
        <w:t>species sensitivity distribution</w:t>
      </w:r>
      <w:r w:rsidRPr="00A372D1">
        <w:rPr>
          <w:rFonts w:cstheme="minorHAnsi"/>
          <w:bCs/>
        </w:rPr>
        <w:t xml:space="preserve"> to derive DGVs (Warne et al. 2018). </w:t>
      </w:r>
    </w:p>
    <w:p w14:paraId="211008C9" w14:textId="4B329BE4" w:rsidR="00206104" w:rsidRPr="0007423D" w:rsidRDefault="00206104" w:rsidP="00206104">
      <w:pPr>
        <w:rPr>
          <w:bCs/>
        </w:rPr>
      </w:pPr>
      <w:r w:rsidRPr="00A372D1">
        <w:rPr>
          <w:rFonts w:cstheme="minorHAnsi"/>
          <w:bCs/>
        </w:rPr>
        <w:t xml:space="preserve">A summary of the toxicity data (one value per species) used to calculate the DGVs for simazine in marine </w:t>
      </w:r>
      <w:r>
        <w:rPr>
          <w:rFonts w:cstheme="minorHAnsi"/>
          <w:bCs/>
        </w:rPr>
        <w:t>water</w:t>
      </w:r>
      <w:r w:rsidRPr="00A372D1">
        <w:rPr>
          <w:rFonts w:cstheme="minorHAnsi"/>
          <w:bCs/>
        </w:rPr>
        <w:t xml:space="preserve"> is in </w:t>
      </w:r>
      <w:r w:rsidR="00A40326">
        <w:rPr>
          <w:rFonts w:cstheme="minorHAnsi"/>
          <w:bCs/>
        </w:rPr>
        <w:fldChar w:fldCharType="begin"/>
      </w:r>
      <w:r w:rsidR="00A40326">
        <w:rPr>
          <w:rFonts w:cstheme="minorHAnsi"/>
          <w:bCs/>
        </w:rPr>
        <w:instrText xml:space="preserve"> REF _Ref185509904 \h </w:instrText>
      </w:r>
      <w:r w:rsidR="00A40326">
        <w:rPr>
          <w:rFonts w:cstheme="minorHAnsi"/>
          <w:bCs/>
        </w:rPr>
      </w:r>
      <w:r w:rsidR="00A40326">
        <w:rPr>
          <w:rFonts w:cstheme="minorHAnsi"/>
          <w:bCs/>
        </w:rPr>
        <w:fldChar w:fldCharType="separate"/>
      </w:r>
      <w:r w:rsidR="00E74306">
        <w:t>Table </w:t>
      </w:r>
      <w:r w:rsidR="00E74306">
        <w:rPr>
          <w:noProof/>
        </w:rPr>
        <w:t>2</w:t>
      </w:r>
      <w:r w:rsidR="00A40326">
        <w:rPr>
          <w:rFonts w:cstheme="minorHAnsi"/>
          <w:bCs/>
        </w:rPr>
        <w:fldChar w:fldCharType="end"/>
      </w:r>
      <w:r>
        <w:rPr>
          <w:rFonts w:cstheme="minorHAnsi"/>
          <w:bCs/>
        </w:rPr>
        <w:t xml:space="preserve">, with additional details of the data provided in </w:t>
      </w:r>
      <w:r w:rsidR="009F710F">
        <w:rPr>
          <w:rFonts w:cstheme="minorHAnsi"/>
          <w:bCs/>
        </w:rPr>
        <w:fldChar w:fldCharType="begin"/>
      </w:r>
      <w:r w:rsidR="009F710F">
        <w:rPr>
          <w:rFonts w:cstheme="minorHAnsi"/>
          <w:bCs/>
        </w:rPr>
        <w:instrText xml:space="preserve"> REF _Ref185510558 \h </w:instrText>
      </w:r>
      <w:r w:rsidR="009F710F">
        <w:rPr>
          <w:rFonts w:cstheme="minorHAnsi"/>
          <w:bCs/>
        </w:rPr>
      </w:r>
      <w:r w:rsidR="009F710F">
        <w:rPr>
          <w:rFonts w:cstheme="minorHAnsi"/>
          <w:bCs/>
        </w:rPr>
        <w:fldChar w:fldCharType="separate"/>
      </w:r>
      <w:r w:rsidR="00E74306">
        <w:t>Appendix </w:t>
      </w:r>
      <w:r w:rsidR="00E74306">
        <w:rPr>
          <w:noProof/>
        </w:rPr>
        <w:t>A</w:t>
      </w:r>
      <w:r w:rsidR="009F710F">
        <w:rPr>
          <w:rFonts w:cstheme="minorHAnsi"/>
          <w:bCs/>
        </w:rPr>
        <w:fldChar w:fldCharType="end"/>
      </w:r>
      <w:r>
        <w:rPr>
          <w:rFonts w:cstheme="minorHAnsi"/>
          <w:bCs/>
        </w:rPr>
        <w:t xml:space="preserve">. </w:t>
      </w:r>
      <w:r>
        <w:t xml:space="preserve">Details of the </w:t>
      </w:r>
      <w:commentRangeStart w:id="17"/>
      <w:r>
        <w:t xml:space="preserve">data quality assessment </w:t>
      </w:r>
      <w:commentRangeEnd w:id="17"/>
      <w:r>
        <w:rPr>
          <w:rStyle w:val="CommentReference"/>
        </w:rPr>
        <w:commentReference w:id="17"/>
      </w:r>
      <w:r>
        <w:t xml:space="preserve">and the </w:t>
      </w:r>
      <w:commentRangeStart w:id="18"/>
      <w:r>
        <w:t xml:space="preserve">data that passed the quality assessment </w:t>
      </w:r>
      <w:commentRangeEnd w:id="18"/>
      <w:r>
        <w:rPr>
          <w:rStyle w:val="CommentReference"/>
        </w:rPr>
        <w:commentReference w:id="18"/>
      </w:r>
      <w:r>
        <w:t>are provided as supporting information</w:t>
      </w:r>
      <w:r>
        <w:rPr>
          <w:rFonts w:cstheme="minorHAnsi"/>
          <w:bCs/>
        </w:rPr>
        <w:t>.</w:t>
      </w:r>
    </w:p>
    <w:p w14:paraId="7720C7CE" w14:textId="66FA3D7E" w:rsidR="00206104" w:rsidRDefault="006F7BC2" w:rsidP="006F7BC2">
      <w:pPr>
        <w:pStyle w:val="Caption"/>
        <w:rPr>
          <w:highlight w:val="cyan"/>
        </w:rPr>
      </w:pPr>
      <w:bookmarkStart w:id="19" w:name="_Ref185509904"/>
      <w:bookmarkStart w:id="20" w:name="_Toc189412391"/>
      <w:r>
        <w:t>Table </w:t>
      </w:r>
      <w:r w:rsidR="00D7456C">
        <w:fldChar w:fldCharType="begin"/>
      </w:r>
      <w:r w:rsidR="00D7456C">
        <w:instrText xml:space="preserve"> SEQ Table \* ARABIC </w:instrText>
      </w:r>
      <w:r w:rsidR="00D7456C">
        <w:fldChar w:fldCharType="separate"/>
      </w:r>
      <w:r w:rsidR="00E74306">
        <w:rPr>
          <w:noProof/>
        </w:rPr>
        <w:t>2</w:t>
      </w:r>
      <w:r w:rsidR="00D7456C">
        <w:rPr>
          <w:noProof/>
        </w:rPr>
        <w:fldChar w:fldCharType="end"/>
      </w:r>
      <w:bookmarkEnd w:id="19"/>
      <w:r w:rsidR="00206104" w:rsidRPr="00206104">
        <w:t xml:space="preserve"> Summary of single toxicity values, all species used to derive the default guideline values for simazine in marine water</w:t>
      </w:r>
      <w:bookmarkEnd w:id="20"/>
    </w:p>
    <w:tbl>
      <w:tblPr>
        <w:tblW w:w="5000" w:type="pct"/>
        <w:tblBorders>
          <w:top w:val="single" w:sz="4" w:space="0" w:color="auto"/>
          <w:bottom w:val="single" w:sz="4" w:space="0" w:color="auto"/>
          <w:insideH w:val="single" w:sz="4" w:space="0" w:color="auto"/>
        </w:tblBorders>
        <w:tblLayout w:type="fixed"/>
        <w:tblLook w:val="0400" w:firstRow="0" w:lastRow="0" w:firstColumn="0" w:lastColumn="0" w:noHBand="0" w:noVBand="1"/>
        <w:tblCaption w:val="Summary of single toxicity values, all species used to derive the default guideline values for simazine in marine water"/>
        <w:tblDescription w:val="Table provides a list of the species used to derive the simazine DGVs with additional details such as taxonomic group, life stage, duration (days), test type, toxicity measure (endpoint), reported toxicity value (microgram per litre) and final toxicity value (microgram per litre)."/>
      </w:tblPr>
      <w:tblGrid>
        <w:gridCol w:w="1420"/>
        <w:gridCol w:w="1415"/>
        <w:gridCol w:w="1134"/>
        <w:gridCol w:w="992"/>
        <w:gridCol w:w="851"/>
        <w:gridCol w:w="1279"/>
        <w:gridCol w:w="990"/>
        <w:gridCol w:w="989"/>
      </w:tblGrid>
      <w:tr w:rsidR="00D724B9" w:rsidRPr="00ED0727" w14:paraId="014C2B1C" w14:textId="77777777" w:rsidTr="002D41D6">
        <w:trPr>
          <w:cantSplit/>
          <w:trHeight w:val="283"/>
          <w:tblHeader/>
        </w:trPr>
        <w:tc>
          <w:tcPr>
            <w:tcW w:w="783" w:type="pct"/>
            <w:tcBorders>
              <w:top w:val="single" w:sz="12" w:space="0" w:color="auto"/>
              <w:bottom w:val="single" w:sz="12" w:space="0" w:color="auto"/>
            </w:tcBorders>
            <w:shd w:val="clear" w:color="auto" w:fill="auto"/>
            <w:vAlign w:val="center"/>
          </w:tcPr>
          <w:p w14:paraId="4E9F6993" w14:textId="2E657D11" w:rsidR="00206104" w:rsidRPr="00ED0727" w:rsidRDefault="00206104" w:rsidP="00C00F3C">
            <w:pPr>
              <w:pStyle w:val="TableHeading"/>
            </w:pPr>
            <w:r w:rsidRPr="00ED0727">
              <w:t>Taxonomic group</w:t>
            </w:r>
            <w:r>
              <w:t xml:space="preserve"> (</w:t>
            </w:r>
            <w:r w:rsidR="00E66D4D">
              <w:t>p</w:t>
            </w:r>
            <w:r>
              <w:t>hylum)</w:t>
            </w:r>
          </w:p>
        </w:tc>
        <w:tc>
          <w:tcPr>
            <w:tcW w:w="780" w:type="pct"/>
            <w:tcBorders>
              <w:top w:val="single" w:sz="12" w:space="0" w:color="auto"/>
              <w:bottom w:val="single" w:sz="12" w:space="0" w:color="auto"/>
            </w:tcBorders>
            <w:shd w:val="clear" w:color="auto" w:fill="auto"/>
            <w:vAlign w:val="center"/>
          </w:tcPr>
          <w:p w14:paraId="54A1FDD9" w14:textId="77777777" w:rsidR="00206104" w:rsidRPr="00ED0727" w:rsidRDefault="00206104" w:rsidP="00C00F3C">
            <w:pPr>
              <w:pStyle w:val="TableHeading"/>
            </w:pPr>
            <w:r w:rsidRPr="00ED0727">
              <w:t>Species</w:t>
            </w:r>
          </w:p>
        </w:tc>
        <w:tc>
          <w:tcPr>
            <w:tcW w:w="625" w:type="pct"/>
            <w:tcBorders>
              <w:top w:val="single" w:sz="12" w:space="0" w:color="auto"/>
              <w:bottom w:val="single" w:sz="12" w:space="0" w:color="auto"/>
            </w:tcBorders>
            <w:shd w:val="clear" w:color="auto" w:fill="auto"/>
            <w:vAlign w:val="center"/>
          </w:tcPr>
          <w:p w14:paraId="659458AE" w14:textId="77777777" w:rsidR="00206104" w:rsidRPr="00ED0727" w:rsidRDefault="00206104" w:rsidP="00C00F3C">
            <w:pPr>
              <w:pStyle w:val="TableHeading"/>
            </w:pPr>
            <w:r w:rsidRPr="00ED0727">
              <w:t>Life stage</w:t>
            </w:r>
          </w:p>
        </w:tc>
        <w:tc>
          <w:tcPr>
            <w:tcW w:w="547" w:type="pct"/>
            <w:tcBorders>
              <w:top w:val="single" w:sz="12" w:space="0" w:color="auto"/>
              <w:bottom w:val="single" w:sz="12" w:space="0" w:color="auto"/>
            </w:tcBorders>
            <w:shd w:val="clear" w:color="auto" w:fill="auto"/>
            <w:vAlign w:val="center"/>
          </w:tcPr>
          <w:p w14:paraId="071AE5CE" w14:textId="3DEF2D3F" w:rsidR="00206104" w:rsidRPr="00ED0727" w:rsidRDefault="00206104" w:rsidP="00C00F3C">
            <w:pPr>
              <w:pStyle w:val="TableHeading"/>
            </w:pPr>
            <w:r w:rsidRPr="00ED0727">
              <w:t>Duration (day</w:t>
            </w:r>
            <w:r w:rsidR="003D69BC">
              <w:t>s</w:t>
            </w:r>
            <w:r w:rsidRPr="00ED0727">
              <w:t>)</w:t>
            </w:r>
          </w:p>
        </w:tc>
        <w:tc>
          <w:tcPr>
            <w:tcW w:w="469" w:type="pct"/>
            <w:tcBorders>
              <w:top w:val="single" w:sz="12" w:space="0" w:color="auto"/>
              <w:bottom w:val="single" w:sz="12" w:space="0" w:color="auto"/>
            </w:tcBorders>
            <w:shd w:val="clear" w:color="auto" w:fill="auto"/>
            <w:vAlign w:val="center"/>
          </w:tcPr>
          <w:p w14:paraId="2DEEB41A" w14:textId="1C74E94A" w:rsidR="00206104" w:rsidRPr="00ED0727" w:rsidRDefault="009D56CE" w:rsidP="00C00F3C">
            <w:pPr>
              <w:pStyle w:val="TableHeading"/>
            </w:pPr>
            <w:r>
              <w:t>Test type</w:t>
            </w:r>
          </w:p>
        </w:tc>
        <w:tc>
          <w:tcPr>
            <w:tcW w:w="705" w:type="pct"/>
            <w:tcBorders>
              <w:top w:val="single" w:sz="12" w:space="0" w:color="auto"/>
              <w:bottom w:val="single" w:sz="12" w:space="0" w:color="auto"/>
            </w:tcBorders>
            <w:shd w:val="clear" w:color="auto" w:fill="auto"/>
            <w:vAlign w:val="center"/>
          </w:tcPr>
          <w:p w14:paraId="39801FFD" w14:textId="4161C6E0" w:rsidR="00206104" w:rsidRPr="00ED0727" w:rsidRDefault="00206104" w:rsidP="00C00F3C">
            <w:pPr>
              <w:pStyle w:val="TableHeading"/>
            </w:pPr>
            <w:r w:rsidRPr="00ED0727">
              <w:t>Toxicity measure</w:t>
            </w:r>
            <w:r w:rsidR="003D69BC">
              <w:t xml:space="preserve"> </w:t>
            </w:r>
            <w:r w:rsidRPr="003D69BC">
              <w:rPr>
                <w:rStyle w:val="Strong"/>
                <w:vertAlign w:val="superscript"/>
              </w:rPr>
              <w:t>a</w:t>
            </w:r>
            <w:r w:rsidRPr="00ED0727">
              <w:t xml:space="preserve"> (endpoint)</w:t>
            </w:r>
          </w:p>
        </w:tc>
        <w:tc>
          <w:tcPr>
            <w:tcW w:w="546" w:type="pct"/>
            <w:tcBorders>
              <w:top w:val="single" w:sz="12" w:space="0" w:color="auto"/>
              <w:bottom w:val="single" w:sz="12" w:space="0" w:color="auto"/>
            </w:tcBorders>
            <w:shd w:val="clear" w:color="auto" w:fill="auto"/>
            <w:vAlign w:val="center"/>
          </w:tcPr>
          <w:p w14:paraId="0357FEE3" w14:textId="332ED691" w:rsidR="00206104" w:rsidRPr="00ED0727" w:rsidRDefault="00206104" w:rsidP="00C00F3C">
            <w:pPr>
              <w:pStyle w:val="TableHeading"/>
            </w:pPr>
            <w:r>
              <w:t>Reported t</w:t>
            </w:r>
            <w:r w:rsidRPr="00ED0727">
              <w:t>oxicity value (µg/L)</w:t>
            </w:r>
          </w:p>
        </w:tc>
        <w:tc>
          <w:tcPr>
            <w:tcW w:w="545" w:type="pct"/>
            <w:tcBorders>
              <w:top w:val="single" w:sz="12" w:space="0" w:color="auto"/>
              <w:bottom w:val="single" w:sz="12" w:space="0" w:color="auto"/>
            </w:tcBorders>
            <w:shd w:val="clear" w:color="auto" w:fill="auto"/>
            <w:vAlign w:val="center"/>
          </w:tcPr>
          <w:p w14:paraId="61D9F300" w14:textId="77777777" w:rsidR="00206104" w:rsidRPr="00ED0727" w:rsidRDefault="00206104" w:rsidP="00C00F3C">
            <w:pPr>
              <w:pStyle w:val="TableHeading"/>
            </w:pPr>
            <w:r w:rsidRPr="00ED0727">
              <w:t>Final toxicity value (µg/L)</w:t>
            </w:r>
          </w:p>
        </w:tc>
      </w:tr>
      <w:tr w:rsidR="00E656EB" w:rsidRPr="00ED0727" w14:paraId="2F8CB2F8" w14:textId="77777777" w:rsidTr="002D41D6">
        <w:trPr>
          <w:cantSplit/>
          <w:trHeight w:val="283"/>
        </w:trPr>
        <w:tc>
          <w:tcPr>
            <w:tcW w:w="783" w:type="pct"/>
            <w:tcBorders>
              <w:top w:val="single" w:sz="12" w:space="0" w:color="auto"/>
            </w:tcBorders>
            <w:shd w:val="clear" w:color="auto" w:fill="auto"/>
          </w:tcPr>
          <w:p w14:paraId="621E780F" w14:textId="7C4F53B4" w:rsidR="00206104" w:rsidRPr="00ED0727" w:rsidRDefault="00206104" w:rsidP="00C00F3C">
            <w:pPr>
              <w:pStyle w:val="TableText"/>
              <w:rPr>
                <w:color w:val="000000"/>
              </w:rPr>
            </w:pPr>
            <w:r w:rsidRPr="00ED0727">
              <w:rPr>
                <w:rFonts w:cstheme="minorHAnsi"/>
              </w:rPr>
              <w:t>Diatom (Bacillariophyta)</w:t>
            </w:r>
          </w:p>
        </w:tc>
        <w:tc>
          <w:tcPr>
            <w:tcW w:w="780" w:type="pct"/>
            <w:tcBorders>
              <w:top w:val="single" w:sz="12" w:space="0" w:color="auto"/>
            </w:tcBorders>
            <w:shd w:val="clear" w:color="auto" w:fill="auto"/>
          </w:tcPr>
          <w:p w14:paraId="45F0BBB4" w14:textId="26EA591C" w:rsidR="00206104" w:rsidRPr="00ED0727" w:rsidRDefault="00206104" w:rsidP="00C00F3C">
            <w:pPr>
              <w:pStyle w:val="TableText"/>
              <w:rPr>
                <w:i/>
                <w:color w:val="000000"/>
              </w:rPr>
            </w:pPr>
            <w:proofErr w:type="spellStart"/>
            <w:r w:rsidRPr="00ED0727">
              <w:rPr>
                <w:rFonts w:cstheme="minorHAnsi"/>
                <w:i/>
              </w:rPr>
              <w:t>Ceratoneis</w:t>
            </w:r>
            <w:proofErr w:type="spellEnd"/>
            <w:r w:rsidRPr="00ED0727">
              <w:rPr>
                <w:rFonts w:cstheme="minorHAnsi"/>
                <w:i/>
              </w:rPr>
              <w:t xml:space="preserve"> </w:t>
            </w:r>
            <w:proofErr w:type="spellStart"/>
            <w:r w:rsidRPr="00ED0727">
              <w:rPr>
                <w:rFonts w:cstheme="minorHAnsi"/>
                <w:i/>
              </w:rPr>
              <w:t>closterium</w:t>
            </w:r>
            <w:proofErr w:type="spellEnd"/>
            <w:r w:rsidR="00C00F3C">
              <w:rPr>
                <w:rFonts w:cstheme="minorHAnsi"/>
                <w:i/>
              </w:rPr>
              <w:t xml:space="preserve"> </w:t>
            </w:r>
            <w:r w:rsidRPr="00CB6891">
              <w:rPr>
                <w:rStyle w:val="Strong"/>
                <w:vertAlign w:val="superscript"/>
              </w:rPr>
              <w:t>d</w:t>
            </w:r>
          </w:p>
        </w:tc>
        <w:tc>
          <w:tcPr>
            <w:tcW w:w="625" w:type="pct"/>
            <w:tcBorders>
              <w:top w:val="single" w:sz="12" w:space="0" w:color="auto"/>
            </w:tcBorders>
            <w:shd w:val="clear" w:color="auto" w:fill="auto"/>
          </w:tcPr>
          <w:p w14:paraId="3F5DCF0B" w14:textId="77777777" w:rsidR="00206104" w:rsidRPr="00ED0727" w:rsidRDefault="00206104" w:rsidP="00C00F3C">
            <w:pPr>
              <w:pStyle w:val="TableText"/>
            </w:pPr>
            <w:r w:rsidRPr="00ED0727">
              <w:rPr>
                <w:rFonts w:cstheme="minorHAnsi"/>
              </w:rPr>
              <w:t>Exponential growth phase</w:t>
            </w:r>
          </w:p>
        </w:tc>
        <w:tc>
          <w:tcPr>
            <w:tcW w:w="547" w:type="pct"/>
            <w:tcBorders>
              <w:top w:val="single" w:sz="12" w:space="0" w:color="auto"/>
            </w:tcBorders>
            <w:shd w:val="clear" w:color="auto" w:fill="auto"/>
          </w:tcPr>
          <w:p w14:paraId="0CDCACFF" w14:textId="77777777" w:rsidR="00206104" w:rsidRPr="00ED0727" w:rsidRDefault="00206104" w:rsidP="00C00F3C">
            <w:pPr>
              <w:pStyle w:val="TableText"/>
            </w:pPr>
            <w:r w:rsidRPr="00ED0727">
              <w:rPr>
                <w:rFonts w:cstheme="minorHAnsi"/>
              </w:rPr>
              <w:t>3</w:t>
            </w:r>
          </w:p>
        </w:tc>
        <w:tc>
          <w:tcPr>
            <w:tcW w:w="469" w:type="pct"/>
            <w:tcBorders>
              <w:top w:val="single" w:sz="12" w:space="0" w:color="auto"/>
            </w:tcBorders>
            <w:shd w:val="clear" w:color="auto" w:fill="auto"/>
          </w:tcPr>
          <w:p w14:paraId="08E55781" w14:textId="77777777" w:rsidR="00206104" w:rsidRDefault="00206104" w:rsidP="00C00F3C">
            <w:pPr>
              <w:pStyle w:val="TableText"/>
              <w:rPr>
                <w:rFonts w:cstheme="minorHAnsi"/>
              </w:rPr>
            </w:pPr>
            <w:r>
              <w:rPr>
                <w:rFonts w:cstheme="minorHAnsi"/>
              </w:rPr>
              <w:t>Chronic</w:t>
            </w:r>
          </w:p>
        </w:tc>
        <w:tc>
          <w:tcPr>
            <w:tcW w:w="705" w:type="pct"/>
            <w:tcBorders>
              <w:top w:val="single" w:sz="12" w:space="0" w:color="auto"/>
            </w:tcBorders>
            <w:shd w:val="clear" w:color="auto" w:fill="auto"/>
          </w:tcPr>
          <w:p w14:paraId="615AB16D" w14:textId="77777777" w:rsidR="00206104" w:rsidRPr="00ED0727" w:rsidRDefault="00206104" w:rsidP="00C00F3C">
            <w:pPr>
              <w:pStyle w:val="TableText"/>
              <w:rPr>
                <w:rFonts w:cstheme="minorHAnsi"/>
              </w:rPr>
            </w:pPr>
            <w:r w:rsidRPr="00ED0727">
              <w:rPr>
                <w:rFonts w:cstheme="minorHAnsi"/>
              </w:rPr>
              <w:t xml:space="preserve">IC10 </w:t>
            </w:r>
          </w:p>
          <w:p w14:paraId="6F5579F6" w14:textId="2C11A72C" w:rsidR="00206104" w:rsidRPr="00ED0727" w:rsidRDefault="00206104" w:rsidP="00C00F3C">
            <w:pPr>
              <w:pStyle w:val="TableText"/>
            </w:pPr>
            <w:r w:rsidRPr="00ED0727">
              <w:rPr>
                <w:rFonts w:cstheme="minorHAnsi"/>
              </w:rPr>
              <w:t>(</w:t>
            </w:r>
            <w:r w:rsidR="00DF6F03">
              <w:rPr>
                <w:rFonts w:cstheme="minorHAnsi"/>
              </w:rPr>
              <w:t>Growth rate</w:t>
            </w:r>
            <w:r w:rsidRPr="00ED0727">
              <w:rPr>
                <w:rFonts w:cstheme="minorHAnsi"/>
              </w:rPr>
              <w:t>)</w:t>
            </w:r>
          </w:p>
        </w:tc>
        <w:tc>
          <w:tcPr>
            <w:tcW w:w="546" w:type="pct"/>
            <w:tcBorders>
              <w:top w:val="single" w:sz="12" w:space="0" w:color="auto"/>
            </w:tcBorders>
            <w:shd w:val="clear" w:color="auto" w:fill="auto"/>
          </w:tcPr>
          <w:p w14:paraId="3D34CAA1" w14:textId="77777777" w:rsidR="00206104" w:rsidRPr="00ED0727" w:rsidRDefault="00206104" w:rsidP="00C00F3C">
            <w:pPr>
              <w:pStyle w:val="TableText"/>
            </w:pPr>
            <w:r w:rsidRPr="00ED0727">
              <w:rPr>
                <w:rFonts w:cstheme="minorHAnsi"/>
              </w:rPr>
              <w:t>310</w:t>
            </w:r>
          </w:p>
        </w:tc>
        <w:tc>
          <w:tcPr>
            <w:tcW w:w="545" w:type="pct"/>
            <w:tcBorders>
              <w:top w:val="single" w:sz="12" w:space="0" w:color="auto"/>
            </w:tcBorders>
            <w:shd w:val="clear" w:color="auto" w:fill="auto"/>
          </w:tcPr>
          <w:p w14:paraId="2D4E4A7F" w14:textId="77777777" w:rsidR="00206104" w:rsidRPr="00ED0727" w:rsidRDefault="00206104" w:rsidP="00C00F3C">
            <w:pPr>
              <w:pStyle w:val="TableText"/>
            </w:pPr>
            <w:r w:rsidRPr="00ED0727">
              <w:rPr>
                <w:rFonts w:cstheme="minorHAnsi"/>
              </w:rPr>
              <w:t>310</w:t>
            </w:r>
          </w:p>
        </w:tc>
      </w:tr>
      <w:tr w:rsidR="00E948CE" w:rsidRPr="00ED0727" w14:paraId="3F8E25D4" w14:textId="77777777" w:rsidTr="002D41D6">
        <w:trPr>
          <w:cantSplit/>
          <w:trHeight w:val="283"/>
        </w:trPr>
        <w:tc>
          <w:tcPr>
            <w:tcW w:w="783" w:type="pct"/>
            <w:shd w:val="clear" w:color="auto" w:fill="auto"/>
          </w:tcPr>
          <w:p w14:paraId="43BA9CD9" w14:textId="2ED13A03" w:rsidR="00206104" w:rsidRPr="00ED0727" w:rsidRDefault="00206104" w:rsidP="00C00F3C">
            <w:pPr>
              <w:pStyle w:val="TableText"/>
              <w:rPr>
                <w:rFonts w:cstheme="minorHAnsi"/>
              </w:rPr>
            </w:pPr>
            <w:r w:rsidRPr="00ED0727">
              <w:rPr>
                <w:rFonts w:cstheme="minorHAnsi"/>
              </w:rPr>
              <w:t xml:space="preserve">Green </w:t>
            </w:r>
            <w:r w:rsidR="00EE4DF8">
              <w:rPr>
                <w:rFonts w:cstheme="minorHAnsi"/>
              </w:rPr>
              <w:t>micro</w:t>
            </w:r>
            <w:r w:rsidRPr="00ED0727">
              <w:rPr>
                <w:rFonts w:cstheme="minorHAnsi"/>
              </w:rPr>
              <w:t>alga</w:t>
            </w:r>
            <w:r w:rsidRPr="00ED0727">
              <w:rPr>
                <w:rFonts w:cstheme="minorHAnsi"/>
              </w:rPr>
              <w:br/>
              <w:t>(Chlorophyta)</w:t>
            </w:r>
          </w:p>
        </w:tc>
        <w:tc>
          <w:tcPr>
            <w:tcW w:w="780" w:type="pct"/>
            <w:shd w:val="clear" w:color="auto" w:fill="auto"/>
          </w:tcPr>
          <w:p w14:paraId="692018FB" w14:textId="77777777" w:rsidR="00206104" w:rsidRPr="00ED0727" w:rsidRDefault="00206104" w:rsidP="00C00F3C">
            <w:pPr>
              <w:pStyle w:val="TableText"/>
              <w:rPr>
                <w:rFonts w:cstheme="minorHAnsi"/>
                <w:i/>
              </w:rPr>
            </w:pPr>
            <w:proofErr w:type="spellStart"/>
            <w:r w:rsidRPr="003D4A48">
              <w:rPr>
                <w:rFonts w:cstheme="minorHAnsi"/>
                <w:i/>
              </w:rPr>
              <w:t>Chlorococcum</w:t>
            </w:r>
            <w:proofErr w:type="spellEnd"/>
            <w:r w:rsidRPr="003D4A48">
              <w:rPr>
                <w:rFonts w:cstheme="minorHAnsi"/>
                <w:i/>
              </w:rPr>
              <w:t xml:space="preserve"> </w:t>
            </w:r>
            <w:r w:rsidRPr="00D85020">
              <w:rPr>
                <w:rFonts w:cstheme="minorHAnsi"/>
                <w:iCs/>
              </w:rPr>
              <w:t>sp.</w:t>
            </w:r>
          </w:p>
        </w:tc>
        <w:tc>
          <w:tcPr>
            <w:tcW w:w="625" w:type="pct"/>
            <w:shd w:val="clear" w:color="auto" w:fill="auto"/>
          </w:tcPr>
          <w:p w14:paraId="0F6B4175" w14:textId="067BBC70" w:rsidR="00206104" w:rsidRPr="00ED0727" w:rsidRDefault="00611907" w:rsidP="00C00F3C">
            <w:pPr>
              <w:pStyle w:val="TableText"/>
              <w:rPr>
                <w:rFonts w:cstheme="minorHAnsi"/>
              </w:rPr>
            </w:pPr>
            <w:r>
              <w:rPr>
                <w:rFonts w:cstheme="minorHAnsi"/>
              </w:rPr>
              <w:t>–</w:t>
            </w:r>
          </w:p>
        </w:tc>
        <w:tc>
          <w:tcPr>
            <w:tcW w:w="547" w:type="pct"/>
            <w:shd w:val="clear" w:color="auto" w:fill="auto"/>
          </w:tcPr>
          <w:p w14:paraId="20BAEB0A" w14:textId="77777777" w:rsidR="00206104" w:rsidRPr="00ED0727" w:rsidRDefault="00206104" w:rsidP="00C00F3C">
            <w:pPr>
              <w:pStyle w:val="TableText"/>
              <w:rPr>
                <w:rFonts w:cstheme="minorHAnsi"/>
              </w:rPr>
            </w:pPr>
            <w:r>
              <w:rPr>
                <w:rFonts w:cstheme="minorHAnsi"/>
              </w:rPr>
              <w:t>10</w:t>
            </w:r>
          </w:p>
        </w:tc>
        <w:tc>
          <w:tcPr>
            <w:tcW w:w="469" w:type="pct"/>
            <w:shd w:val="clear" w:color="auto" w:fill="auto"/>
          </w:tcPr>
          <w:p w14:paraId="3DD7A7B0"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08ADE38E" w14:textId="77777777" w:rsidR="00304008" w:rsidRDefault="00206104" w:rsidP="00C00F3C">
            <w:pPr>
              <w:pStyle w:val="TableText"/>
              <w:rPr>
                <w:rFonts w:cstheme="minorHAnsi"/>
              </w:rPr>
            </w:pPr>
            <w:r>
              <w:rPr>
                <w:rFonts w:cstheme="minorHAnsi"/>
              </w:rPr>
              <w:t>EC50</w:t>
            </w:r>
          </w:p>
          <w:p w14:paraId="1548E89A" w14:textId="11FF6B9F" w:rsidR="00206104" w:rsidRPr="00ED0727" w:rsidDel="00C90968" w:rsidRDefault="00206104" w:rsidP="00C00F3C">
            <w:pPr>
              <w:pStyle w:val="TableText"/>
              <w:rPr>
                <w:rFonts w:cstheme="minorHAnsi"/>
              </w:rPr>
            </w:pPr>
            <w:r>
              <w:rPr>
                <w:rFonts w:cstheme="minorHAnsi"/>
              </w:rPr>
              <w:t>(Cell density)</w:t>
            </w:r>
          </w:p>
        </w:tc>
        <w:tc>
          <w:tcPr>
            <w:tcW w:w="546" w:type="pct"/>
            <w:shd w:val="clear" w:color="auto" w:fill="auto"/>
          </w:tcPr>
          <w:p w14:paraId="2910115F" w14:textId="14687C1A" w:rsidR="00206104" w:rsidRPr="00ED0727" w:rsidRDefault="00206104" w:rsidP="00C00F3C">
            <w:pPr>
              <w:pStyle w:val="TableText"/>
              <w:rPr>
                <w:rFonts w:cstheme="minorHAnsi"/>
              </w:rPr>
            </w:pPr>
            <w:r>
              <w:rPr>
                <w:rFonts w:cstheme="minorHAnsi"/>
              </w:rPr>
              <w:t>2</w:t>
            </w:r>
            <w:r w:rsidR="00C00F3C">
              <w:rPr>
                <w:rFonts w:cstheme="minorHAnsi"/>
              </w:rPr>
              <w:t> </w:t>
            </w:r>
            <w:r>
              <w:rPr>
                <w:rFonts w:cstheme="minorHAnsi"/>
              </w:rPr>
              <w:t>000</w:t>
            </w:r>
          </w:p>
        </w:tc>
        <w:tc>
          <w:tcPr>
            <w:tcW w:w="545" w:type="pct"/>
            <w:shd w:val="clear" w:color="auto" w:fill="auto"/>
          </w:tcPr>
          <w:p w14:paraId="6877308B" w14:textId="65204ACE" w:rsidR="00206104" w:rsidRPr="00ED0727" w:rsidRDefault="00206104" w:rsidP="00C00F3C">
            <w:pPr>
              <w:pStyle w:val="TableText"/>
              <w:rPr>
                <w:rFonts w:cstheme="minorHAnsi"/>
              </w:rPr>
            </w:pPr>
            <w:r>
              <w:rPr>
                <w:rFonts w:cstheme="minorHAnsi"/>
              </w:rPr>
              <w:t>400</w:t>
            </w:r>
            <w:r w:rsidR="00C00F3C">
              <w:rPr>
                <w:rFonts w:cstheme="minorHAnsi"/>
              </w:rPr>
              <w:t xml:space="preserve"> </w:t>
            </w:r>
            <w:r w:rsidRPr="00CB6891">
              <w:rPr>
                <w:rStyle w:val="Strong"/>
                <w:vertAlign w:val="superscript"/>
              </w:rPr>
              <w:t>b</w:t>
            </w:r>
          </w:p>
        </w:tc>
      </w:tr>
      <w:tr w:rsidR="00E948CE" w:rsidRPr="00ED0727" w14:paraId="6A3E65A1" w14:textId="77777777" w:rsidTr="002D41D6">
        <w:trPr>
          <w:cantSplit/>
          <w:trHeight w:val="283"/>
        </w:trPr>
        <w:tc>
          <w:tcPr>
            <w:tcW w:w="783" w:type="pct"/>
            <w:shd w:val="clear" w:color="auto" w:fill="auto"/>
          </w:tcPr>
          <w:p w14:paraId="0C7B3978" w14:textId="1BE5DED1" w:rsidR="00206104" w:rsidRPr="00ED0727" w:rsidRDefault="00206104" w:rsidP="00D41DDE">
            <w:pPr>
              <w:pStyle w:val="TableText"/>
              <w:rPr>
                <w:rFonts w:cstheme="minorHAnsi"/>
              </w:rPr>
            </w:pPr>
            <w:r w:rsidRPr="00ED0727">
              <w:rPr>
                <w:rFonts w:cstheme="minorHAnsi"/>
              </w:rPr>
              <w:t>Bivalve</w:t>
            </w:r>
            <w:r w:rsidR="00D41DDE">
              <w:rPr>
                <w:rFonts w:cstheme="minorHAnsi"/>
              </w:rPr>
              <w:br/>
            </w:r>
            <w:r w:rsidRPr="00ED0727">
              <w:rPr>
                <w:rFonts w:cstheme="minorHAnsi"/>
              </w:rPr>
              <w:t>(</w:t>
            </w:r>
            <w:r>
              <w:rPr>
                <w:rFonts w:cstheme="minorHAnsi"/>
              </w:rPr>
              <w:t>Mollusca</w:t>
            </w:r>
            <w:r w:rsidRPr="00ED0727">
              <w:rPr>
                <w:rFonts w:cstheme="minorHAnsi"/>
              </w:rPr>
              <w:t>)</w:t>
            </w:r>
          </w:p>
        </w:tc>
        <w:tc>
          <w:tcPr>
            <w:tcW w:w="780" w:type="pct"/>
            <w:shd w:val="clear" w:color="auto" w:fill="auto"/>
          </w:tcPr>
          <w:p w14:paraId="6E58578E" w14:textId="77777777" w:rsidR="00206104" w:rsidRPr="00ED0727" w:rsidRDefault="00206104" w:rsidP="00C00F3C">
            <w:pPr>
              <w:pStyle w:val="TableText"/>
              <w:rPr>
                <w:rFonts w:cstheme="minorHAnsi"/>
                <w:i/>
              </w:rPr>
            </w:pPr>
            <w:r w:rsidRPr="00ED0727">
              <w:rPr>
                <w:rFonts w:cstheme="minorHAnsi"/>
                <w:i/>
              </w:rPr>
              <w:t>Crassostrea virginica</w:t>
            </w:r>
          </w:p>
        </w:tc>
        <w:tc>
          <w:tcPr>
            <w:tcW w:w="625" w:type="pct"/>
            <w:shd w:val="clear" w:color="auto" w:fill="auto"/>
          </w:tcPr>
          <w:p w14:paraId="4E23CDCF" w14:textId="5FA8BAE9" w:rsidR="00206104" w:rsidRPr="00ED0727" w:rsidRDefault="00206104" w:rsidP="00C00F3C">
            <w:pPr>
              <w:pStyle w:val="TableText"/>
              <w:rPr>
                <w:rFonts w:cstheme="minorHAnsi"/>
              </w:rPr>
            </w:pPr>
            <w:r w:rsidRPr="00ED0727">
              <w:rPr>
                <w:rFonts w:cstheme="minorHAnsi"/>
              </w:rPr>
              <w:t>Spat</w:t>
            </w:r>
          </w:p>
        </w:tc>
        <w:tc>
          <w:tcPr>
            <w:tcW w:w="547" w:type="pct"/>
            <w:shd w:val="clear" w:color="auto" w:fill="auto"/>
          </w:tcPr>
          <w:p w14:paraId="4E9B5557" w14:textId="77777777" w:rsidR="00206104" w:rsidRPr="00ED0727" w:rsidRDefault="00206104" w:rsidP="00C00F3C">
            <w:pPr>
              <w:pStyle w:val="TableText"/>
              <w:rPr>
                <w:rFonts w:cstheme="minorHAnsi"/>
              </w:rPr>
            </w:pPr>
            <w:r w:rsidRPr="00ED0727">
              <w:rPr>
                <w:rFonts w:cstheme="minorHAnsi"/>
              </w:rPr>
              <w:t>7</w:t>
            </w:r>
          </w:p>
        </w:tc>
        <w:tc>
          <w:tcPr>
            <w:tcW w:w="469" w:type="pct"/>
            <w:shd w:val="clear" w:color="auto" w:fill="auto"/>
          </w:tcPr>
          <w:p w14:paraId="3825CDF6"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6CE358D6" w14:textId="77777777" w:rsidR="00304008" w:rsidRDefault="00206104" w:rsidP="00C00F3C">
            <w:pPr>
              <w:pStyle w:val="TableText"/>
              <w:rPr>
                <w:rFonts w:cstheme="minorHAnsi"/>
              </w:rPr>
            </w:pPr>
            <w:r w:rsidRPr="00967558">
              <w:rPr>
                <w:rFonts w:cstheme="minorHAnsi"/>
              </w:rPr>
              <w:t>NOEL</w:t>
            </w:r>
            <w:r>
              <w:rPr>
                <w:rFonts w:cstheme="minorHAnsi"/>
              </w:rPr>
              <w:t xml:space="preserve"> </w:t>
            </w:r>
          </w:p>
          <w:p w14:paraId="1D5B2AAA" w14:textId="1727F627" w:rsidR="00206104" w:rsidRPr="00ED0727" w:rsidRDefault="00206104" w:rsidP="00C00F3C">
            <w:pPr>
              <w:pStyle w:val="TableText"/>
              <w:rPr>
                <w:rFonts w:cstheme="minorHAnsi"/>
              </w:rPr>
            </w:pPr>
            <w:r>
              <w:rPr>
                <w:rFonts w:cstheme="minorHAnsi"/>
              </w:rPr>
              <w:t>(</w:t>
            </w:r>
            <w:r w:rsidRPr="00967558">
              <w:rPr>
                <w:rFonts w:cstheme="minorHAnsi"/>
              </w:rPr>
              <w:t>Mortality,</w:t>
            </w:r>
            <w:r>
              <w:rPr>
                <w:rFonts w:cstheme="minorHAnsi"/>
              </w:rPr>
              <w:t xml:space="preserve"> </w:t>
            </w:r>
            <w:r w:rsidR="00E92300">
              <w:rPr>
                <w:rFonts w:cstheme="minorHAnsi"/>
              </w:rPr>
              <w:t xml:space="preserve">abnormal </w:t>
            </w:r>
            <w:r w:rsidRPr="00967558">
              <w:rPr>
                <w:rFonts w:cstheme="minorHAnsi"/>
              </w:rPr>
              <w:t>development</w:t>
            </w:r>
            <w:r>
              <w:rPr>
                <w:rFonts w:cstheme="minorHAnsi"/>
              </w:rPr>
              <w:t>)</w:t>
            </w:r>
          </w:p>
        </w:tc>
        <w:tc>
          <w:tcPr>
            <w:tcW w:w="546" w:type="pct"/>
            <w:shd w:val="clear" w:color="auto" w:fill="auto"/>
          </w:tcPr>
          <w:p w14:paraId="4D807C7F" w14:textId="12DB94BD" w:rsidR="00206104" w:rsidRPr="00ED0727" w:rsidRDefault="00206104" w:rsidP="00C00F3C">
            <w:pPr>
              <w:pStyle w:val="TableText"/>
              <w:rPr>
                <w:rFonts w:cstheme="minorHAnsi"/>
              </w:rPr>
            </w:pPr>
            <w:r w:rsidRPr="00ED0727">
              <w:rPr>
                <w:rFonts w:cstheme="minorHAnsi"/>
              </w:rPr>
              <w:t>1</w:t>
            </w:r>
            <w:r w:rsidR="00C00F3C">
              <w:rPr>
                <w:rFonts w:cstheme="minorHAnsi"/>
              </w:rPr>
              <w:t> </w:t>
            </w:r>
            <w:r w:rsidRPr="00ED0727">
              <w:rPr>
                <w:rFonts w:cstheme="minorHAnsi"/>
              </w:rPr>
              <w:t>000</w:t>
            </w:r>
          </w:p>
        </w:tc>
        <w:tc>
          <w:tcPr>
            <w:tcW w:w="545" w:type="pct"/>
            <w:shd w:val="clear" w:color="auto" w:fill="auto"/>
          </w:tcPr>
          <w:p w14:paraId="5534EB94" w14:textId="68BBD909" w:rsidR="00206104" w:rsidRPr="00ED0727" w:rsidRDefault="00206104" w:rsidP="00C00F3C">
            <w:pPr>
              <w:pStyle w:val="TableText"/>
              <w:rPr>
                <w:rFonts w:cstheme="minorHAnsi"/>
              </w:rPr>
            </w:pPr>
            <w:r w:rsidRPr="00ED0727">
              <w:rPr>
                <w:rFonts w:cstheme="minorHAnsi"/>
              </w:rPr>
              <w:t>1</w:t>
            </w:r>
            <w:r w:rsidR="00C00F3C">
              <w:rPr>
                <w:rFonts w:cstheme="minorHAnsi"/>
              </w:rPr>
              <w:t> </w:t>
            </w:r>
            <w:r w:rsidRPr="00ED0727">
              <w:rPr>
                <w:rFonts w:cstheme="minorHAnsi"/>
              </w:rPr>
              <w:t>000</w:t>
            </w:r>
          </w:p>
        </w:tc>
      </w:tr>
      <w:tr w:rsidR="00E948CE" w:rsidRPr="00ED0727" w14:paraId="670CFC54" w14:textId="77777777" w:rsidTr="002D41D6">
        <w:trPr>
          <w:cantSplit/>
          <w:trHeight w:val="283"/>
        </w:trPr>
        <w:tc>
          <w:tcPr>
            <w:tcW w:w="783" w:type="pct"/>
            <w:shd w:val="clear" w:color="auto" w:fill="auto"/>
          </w:tcPr>
          <w:p w14:paraId="76CDBBA9" w14:textId="567309B0" w:rsidR="00206104" w:rsidRPr="00ED0727" w:rsidRDefault="00206104" w:rsidP="00C00F3C">
            <w:pPr>
              <w:pStyle w:val="TableText"/>
              <w:rPr>
                <w:color w:val="000000"/>
              </w:rPr>
            </w:pPr>
            <w:r w:rsidRPr="00ED0727">
              <w:rPr>
                <w:rFonts w:cstheme="minorHAnsi"/>
              </w:rPr>
              <w:lastRenderedPageBreak/>
              <w:t>Dinoflagellate</w:t>
            </w:r>
            <w:r w:rsidRPr="00ED0727">
              <w:rPr>
                <w:rFonts w:cstheme="minorHAnsi"/>
              </w:rPr>
              <w:br/>
              <w:t>(</w:t>
            </w:r>
            <w:proofErr w:type="spellStart"/>
            <w:r w:rsidRPr="00EB0626">
              <w:rPr>
                <w:rFonts w:cstheme="minorHAnsi"/>
              </w:rPr>
              <w:t>Dinoflagellata</w:t>
            </w:r>
            <w:proofErr w:type="spellEnd"/>
            <w:r w:rsidRPr="00ED0727">
              <w:rPr>
                <w:rFonts w:cstheme="minorHAnsi"/>
              </w:rPr>
              <w:t>)</w:t>
            </w:r>
          </w:p>
        </w:tc>
        <w:tc>
          <w:tcPr>
            <w:tcW w:w="780" w:type="pct"/>
            <w:shd w:val="clear" w:color="auto" w:fill="auto"/>
          </w:tcPr>
          <w:p w14:paraId="4DA52AFE" w14:textId="77777777" w:rsidR="00206104" w:rsidRPr="00ED0727" w:rsidRDefault="00206104" w:rsidP="00C00F3C">
            <w:pPr>
              <w:pStyle w:val="TableText"/>
              <w:rPr>
                <w:i/>
                <w:color w:val="000000"/>
              </w:rPr>
            </w:pPr>
            <w:proofErr w:type="spellStart"/>
            <w:r w:rsidRPr="00ED0727">
              <w:rPr>
                <w:rFonts w:cstheme="minorHAnsi"/>
                <w:i/>
              </w:rPr>
              <w:t>Cladocopium</w:t>
            </w:r>
            <w:proofErr w:type="spellEnd"/>
            <w:r w:rsidRPr="00ED0727">
              <w:rPr>
                <w:rFonts w:cstheme="minorHAnsi"/>
                <w:i/>
              </w:rPr>
              <w:t xml:space="preserve"> </w:t>
            </w:r>
            <w:proofErr w:type="spellStart"/>
            <w:r w:rsidRPr="00ED0727">
              <w:rPr>
                <w:rFonts w:cstheme="minorHAnsi"/>
                <w:i/>
              </w:rPr>
              <w:t>goreaui</w:t>
            </w:r>
            <w:proofErr w:type="spellEnd"/>
          </w:p>
        </w:tc>
        <w:tc>
          <w:tcPr>
            <w:tcW w:w="625" w:type="pct"/>
            <w:shd w:val="clear" w:color="auto" w:fill="auto"/>
          </w:tcPr>
          <w:p w14:paraId="546F41FE" w14:textId="77777777" w:rsidR="00206104" w:rsidRPr="00ED0727" w:rsidRDefault="00206104" w:rsidP="00C00F3C">
            <w:pPr>
              <w:pStyle w:val="TableText"/>
            </w:pPr>
            <w:r w:rsidRPr="00ED0727">
              <w:rPr>
                <w:rFonts w:cstheme="minorHAnsi"/>
              </w:rPr>
              <w:t>Exponential growth phase</w:t>
            </w:r>
          </w:p>
        </w:tc>
        <w:tc>
          <w:tcPr>
            <w:tcW w:w="547" w:type="pct"/>
            <w:shd w:val="clear" w:color="auto" w:fill="auto"/>
          </w:tcPr>
          <w:p w14:paraId="4B438072" w14:textId="77777777" w:rsidR="00206104" w:rsidRPr="00ED0727" w:rsidRDefault="00206104" w:rsidP="00C00F3C">
            <w:pPr>
              <w:pStyle w:val="TableText"/>
            </w:pPr>
            <w:r w:rsidRPr="00ED0727">
              <w:rPr>
                <w:rFonts w:cstheme="minorHAnsi"/>
              </w:rPr>
              <w:t>14</w:t>
            </w:r>
          </w:p>
        </w:tc>
        <w:tc>
          <w:tcPr>
            <w:tcW w:w="469" w:type="pct"/>
            <w:shd w:val="clear" w:color="auto" w:fill="auto"/>
          </w:tcPr>
          <w:p w14:paraId="77A360B7"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51C23B60" w14:textId="77777777" w:rsidR="00206104" w:rsidRDefault="00206104" w:rsidP="00C00F3C">
            <w:pPr>
              <w:pStyle w:val="TableText"/>
              <w:rPr>
                <w:rFonts w:cstheme="minorHAnsi"/>
              </w:rPr>
            </w:pPr>
            <w:r w:rsidRPr="00ED0727">
              <w:rPr>
                <w:rFonts w:cstheme="minorHAnsi"/>
              </w:rPr>
              <w:t>EC10</w:t>
            </w:r>
          </w:p>
          <w:p w14:paraId="236CA51F" w14:textId="77777777" w:rsidR="00206104" w:rsidRPr="00ED0727" w:rsidRDefault="00206104" w:rsidP="00C00F3C">
            <w:pPr>
              <w:pStyle w:val="TableText"/>
            </w:pPr>
            <w:r w:rsidRPr="00ED0727">
              <w:rPr>
                <w:rFonts w:cstheme="minorHAnsi"/>
              </w:rPr>
              <w:t>(Growth rate)</w:t>
            </w:r>
          </w:p>
        </w:tc>
        <w:tc>
          <w:tcPr>
            <w:tcW w:w="546" w:type="pct"/>
            <w:shd w:val="clear" w:color="auto" w:fill="auto"/>
          </w:tcPr>
          <w:p w14:paraId="1A076889" w14:textId="77777777" w:rsidR="00206104" w:rsidRPr="00ED0727" w:rsidRDefault="00206104" w:rsidP="00C00F3C">
            <w:pPr>
              <w:pStyle w:val="TableText"/>
            </w:pPr>
            <w:r w:rsidRPr="00ED0727">
              <w:rPr>
                <w:rFonts w:cstheme="minorHAnsi"/>
              </w:rPr>
              <w:t>257</w:t>
            </w:r>
          </w:p>
        </w:tc>
        <w:tc>
          <w:tcPr>
            <w:tcW w:w="545" w:type="pct"/>
            <w:shd w:val="clear" w:color="auto" w:fill="auto"/>
          </w:tcPr>
          <w:p w14:paraId="2942142E" w14:textId="77777777" w:rsidR="00206104" w:rsidRPr="00ED0727" w:rsidRDefault="00206104" w:rsidP="00C00F3C">
            <w:pPr>
              <w:pStyle w:val="TableText"/>
            </w:pPr>
            <w:r w:rsidRPr="00ED0727">
              <w:rPr>
                <w:rFonts w:cstheme="minorHAnsi"/>
              </w:rPr>
              <w:t>257</w:t>
            </w:r>
          </w:p>
        </w:tc>
      </w:tr>
      <w:tr w:rsidR="00E948CE" w:rsidRPr="00ED0727" w14:paraId="50C4AE99" w14:textId="77777777" w:rsidTr="002D41D6">
        <w:trPr>
          <w:cantSplit/>
          <w:trHeight w:val="283"/>
        </w:trPr>
        <w:tc>
          <w:tcPr>
            <w:tcW w:w="783" w:type="pct"/>
            <w:shd w:val="clear" w:color="auto" w:fill="auto"/>
          </w:tcPr>
          <w:p w14:paraId="2996AC02" w14:textId="47970535" w:rsidR="00206104" w:rsidRPr="00ED0727" w:rsidRDefault="00206104" w:rsidP="00C00F3C">
            <w:pPr>
              <w:pStyle w:val="TableText"/>
              <w:rPr>
                <w:rFonts w:cstheme="minorHAnsi"/>
              </w:rPr>
            </w:pPr>
            <w:r w:rsidRPr="00ED0727">
              <w:rPr>
                <w:rFonts w:cstheme="minorHAnsi"/>
              </w:rPr>
              <w:t xml:space="preserve">Green </w:t>
            </w:r>
            <w:r w:rsidR="00727079">
              <w:rPr>
                <w:rFonts w:cstheme="minorHAnsi"/>
              </w:rPr>
              <w:t>micro</w:t>
            </w:r>
            <w:r w:rsidRPr="00ED0727">
              <w:rPr>
                <w:rFonts w:cstheme="minorHAnsi"/>
              </w:rPr>
              <w:t>alga</w:t>
            </w:r>
            <w:r w:rsidRPr="00ED0727">
              <w:rPr>
                <w:rFonts w:cstheme="minorHAnsi"/>
              </w:rPr>
              <w:br/>
              <w:t>(Chlorophyta)</w:t>
            </w:r>
          </w:p>
        </w:tc>
        <w:tc>
          <w:tcPr>
            <w:tcW w:w="780" w:type="pct"/>
            <w:shd w:val="clear" w:color="auto" w:fill="auto"/>
          </w:tcPr>
          <w:p w14:paraId="145186FF" w14:textId="77777777" w:rsidR="00206104" w:rsidRPr="00ED0727" w:rsidRDefault="00206104" w:rsidP="00C00F3C">
            <w:pPr>
              <w:pStyle w:val="TableText"/>
              <w:rPr>
                <w:rFonts w:cstheme="minorHAnsi"/>
                <w:i/>
              </w:rPr>
            </w:pPr>
            <w:proofErr w:type="spellStart"/>
            <w:r w:rsidRPr="00F509FF">
              <w:rPr>
                <w:rFonts w:cstheme="minorHAnsi"/>
                <w:i/>
              </w:rPr>
              <w:t>Dunaliella</w:t>
            </w:r>
            <w:proofErr w:type="spellEnd"/>
            <w:r w:rsidRPr="00F509FF">
              <w:rPr>
                <w:rFonts w:cstheme="minorHAnsi"/>
                <w:i/>
              </w:rPr>
              <w:t xml:space="preserve"> </w:t>
            </w:r>
            <w:proofErr w:type="spellStart"/>
            <w:r w:rsidRPr="00F509FF">
              <w:rPr>
                <w:rFonts w:cstheme="minorHAnsi"/>
                <w:i/>
              </w:rPr>
              <w:t>tertiolecta</w:t>
            </w:r>
            <w:proofErr w:type="spellEnd"/>
          </w:p>
        </w:tc>
        <w:tc>
          <w:tcPr>
            <w:tcW w:w="625" w:type="pct"/>
            <w:shd w:val="clear" w:color="auto" w:fill="auto"/>
          </w:tcPr>
          <w:p w14:paraId="16B495F1" w14:textId="5EEE50BA" w:rsidR="00206104" w:rsidRPr="00ED0727" w:rsidRDefault="00B22419" w:rsidP="00C00F3C">
            <w:pPr>
              <w:pStyle w:val="TableText"/>
              <w:rPr>
                <w:rFonts w:cstheme="minorHAnsi"/>
              </w:rPr>
            </w:pPr>
            <w:r>
              <w:rPr>
                <w:rFonts w:cstheme="minorHAnsi"/>
              </w:rPr>
              <w:t>–</w:t>
            </w:r>
          </w:p>
        </w:tc>
        <w:tc>
          <w:tcPr>
            <w:tcW w:w="547" w:type="pct"/>
            <w:shd w:val="clear" w:color="auto" w:fill="auto"/>
          </w:tcPr>
          <w:p w14:paraId="28E905F6" w14:textId="77777777" w:rsidR="00206104" w:rsidRPr="00ED0727" w:rsidRDefault="00206104" w:rsidP="00C00F3C">
            <w:pPr>
              <w:pStyle w:val="TableText"/>
              <w:rPr>
                <w:rFonts w:cstheme="minorHAnsi"/>
              </w:rPr>
            </w:pPr>
            <w:r>
              <w:rPr>
                <w:rFonts w:cstheme="minorHAnsi"/>
              </w:rPr>
              <w:t>10</w:t>
            </w:r>
          </w:p>
        </w:tc>
        <w:tc>
          <w:tcPr>
            <w:tcW w:w="469" w:type="pct"/>
            <w:shd w:val="clear" w:color="auto" w:fill="auto"/>
          </w:tcPr>
          <w:p w14:paraId="0E9665D1"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3D8B7C9D" w14:textId="77777777" w:rsidR="00304008" w:rsidRDefault="00206104" w:rsidP="00C00F3C">
            <w:pPr>
              <w:pStyle w:val="TableText"/>
              <w:rPr>
                <w:rFonts w:cstheme="minorHAnsi"/>
              </w:rPr>
            </w:pPr>
            <w:r>
              <w:rPr>
                <w:rFonts w:cstheme="minorHAnsi"/>
              </w:rPr>
              <w:t>EC50</w:t>
            </w:r>
          </w:p>
          <w:p w14:paraId="3ACCC649" w14:textId="1766E24E" w:rsidR="00206104" w:rsidRPr="00ED0727" w:rsidDel="00C90968" w:rsidRDefault="00206104" w:rsidP="00C00F3C">
            <w:pPr>
              <w:pStyle w:val="TableText"/>
              <w:rPr>
                <w:rFonts w:cstheme="minorHAnsi"/>
              </w:rPr>
            </w:pPr>
            <w:r>
              <w:rPr>
                <w:rFonts w:cstheme="minorHAnsi"/>
              </w:rPr>
              <w:t>(Cell density)</w:t>
            </w:r>
          </w:p>
        </w:tc>
        <w:tc>
          <w:tcPr>
            <w:tcW w:w="546" w:type="pct"/>
            <w:shd w:val="clear" w:color="auto" w:fill="auto"/>
          </w:tcPr>
          <w:p w14:paraId="5CDFC3AC" w14:textId="439F0512" w:rsidR="00206104" w:rsidRPr="00ED0727" w:rsidRDefault="00206104" w:rsidP="00C00F3C">
            <w:pPr>
              <w:pStyle w:val="TableText"/>
              <w:rPr>
                <w:rFonts w:cstheme="minorHAnsi"/>
              </w:rPr>
            </w:pPr>
            <w:r>
              <w:rPr>
                <w:rFonts w:cstheme="minorHAnsi"/>
              </w:rPr>
              <w:t>5</w:t>
            </w:r>
            <w:r w:rsidR="00C00F3C">
              <w:rPr>
                <w:rFonts w:cstheme="minorHAnsi"/>
              </w:rPr>
              <w:t> </w:t>
            </w:r>
            <w:r>
              <w:rPr>
                <w:rFonts w:cstheme="minorHAnsi"/>
              </w:rPr>
              <w:t>000</w:t>
            </w:r>
          </w:p>
        </w:tc>
        <w:tc>
          <w:tcPr>
            <w:tcW w:w="545" w:type="pct"/>
            <w:shd w:val="clear" w:color="auto" w:fill="auto"/>
          </w:tcPr>
          <w:p w14:paraId="0F627F92" w14:textId="76AAF434" w:rsidR="00206104" w:rsidRPr="00ED0727" w:rsidRDefault="00206104" w:rsidP="00C00F3C">
            <w:pPr>
              <w:pStyle w:val="TableText"/>
              <w:rPr>
                <w:rFonts w:cstheme="minorHAnsi"/>
              </w:rPr>
            </w:pPr>
            <w:r>
              <w:rPr>
                <w:rFonts w:cstheme="minorHAnsi"/>
              </w:rPr>
              <w:t>1</w:t>
            </w:r>
            <w:r w:rsidR="00C00F3C">
              <w:rPr>
                <w:rFonts w:cstheme="minorHAnsi"/>
              </w:rPr>
              <w:t> </w:t>
            </w:r>
            <w:r>
              <w:rPr>
                <w:rFonts w:cstheme="minorHAnsi"/>
              </w:rPr>
              <w:t>000</w:t>
            </w:r>
            <w:r w:rsidR="00C00F3C">
              <w:rPr>
                <w:rFonts w:cstheme="minorHAnsi"/>
              </w:rPr>
              <w:t xml:space="preserve"> </w:t>
            </w:r>
            <w:r w:rsidRPr="00CB6891">
              <w:rPr>
                <w:rStyle w:val="Strong"/>
                <w:vertAlign w:val="superscript"/>
              </w:rPr>
              <w:t>b</w:t>
            </w:r>
          </w:p>
        </w:tc>
      </w:tr>
      <w:tr w:rsidR="00E948CE" w:rsidRPr="00ED0727" w14:paraId="1E2671CF" w14:textId="77777777" w:rsidTr="002D41D6">
        <w:trPr>
          <w:cantSplit/>
          <w:trHeight w:val="283"/>
        </w:trPr>
        <w:tc>
          <w:tcPr>
            <w:tcW w:w="783" w:type="pct"/>
            <w:shd w:val="clear" w:color="auto" w:fill="auto"/>
          </w:tcPr>
          <w:p w14:paraId="246B0404" w14:textId="49362AC7" w:rsidR="00206104" w:rsidRPr="00ED0727" w:rsidRDefault="00F76E60" w:rsidP="00C00F3C">
            <w:pPr>
              <w:pStyle w:val="TableText"/>
              <w:rPr>
                <w:rFonts w:cstheme="minorHAnsi"/>
              </w:rPr>
            </w:pPr>
            <w:r>
              <w:rPr>
                <w:rFonts w:cstheme="minorHAnsi"/>
              </w:rPr>
              <w:t>Golden</w:t>
            </w:r>
            <w:r w:rsidR="00ED2E9B">
              <w:rPr>
                <w:rFonts w:cstheme="minorHAnsi"/>
              </w:rPr>
              <w:t>-brown</w:t>
            </w:r>
            <w:r w:rsidR="00206104" w:rsidRPr="00ED0727">
              <w:rPr>
                <w:rFonts w:cstheme="minorHAnsi"/>
              </w:rPr>
              <w:t xml:space="preserve"> </w:t>
            </w:r>
            <w:r w:rsidR="00ED2E9B">
              <w:rPr>
                <w:rFonts w:cstheme="minorHAnsi"/>
              </w:rPr>
              <w:t>micro</w:t>
            </w:r>
            <w:r w:rsidR="00206104" w:rsidRPr="00ED0727">
              <w:rPr>
                <w:rFonts w:cstheme="minorHAnsi"/>
              </w:rPr>
              <w:t>alga</w:t>
            </w:r>
            <w:r w:rsidR="00206104" w:rsidRPr="00ED0727">
              <w:rPr>
                <w:rFonts w:cstheme="minorHAnsi"/>
              </w:rPr>
              <w:br/>
              <w:t>(</w:t>
            </w:r>
            <w:proofErr w:type="spellStart"/>
            <w:r w:rsidR="00206104" w:rsidRPr="00ED0727">
              <w:rPr>
                <w:rFonts w:cstheme="minorHAnsi"/>
              </w:rPr>
              <w:t>Haptophyta</w:t>
            </w:r>
            <w:proofErr w:type="spellEnd"/>
            <w:r w:rsidR="00206104" w:rsidRPr="00ED0727">
              <w:rPr>
                <w:rFonts w:cstheme="minorHAnsi"/>
              </w:rPr>
              <w:t>)</w:t>
            </w:r>
          </w:p>
        </w:tc>
        <w:tc>
          <w:tcPr>
            <w:tcW w:w="780" w:type="pct"/>
            <w:shd w:val="clear" w:color="auto" w:fill="auto"/>
          </w:tcPr>
          <w:p w14:paraId="3885DE87" w14:textId="77777777" w:rsidR="00206104" w:rsidRPr="00ED0727" w:rsidRDefault="00206104" w:rsidP="00C00F3C">
            <w:pPr>
              <w:pStyle w:val="TableText"/>
              <w:rPr>
                <w:rFonts w:cstheme="minorHAnsi"/>
                <w:i/>
              </w:rPr>
            </w:pPr>
            <w:proofErr w:type="spellStart"/>
            <w:r w:rsidRPr="00F509FF">
              <w:rPr>
                <w:rFonts w:cstheme="minorHAnsi"/>
                <w:i/>
              </w:rPr>
              <w:t>Isochrysis</w:t>
            </w:r>
            <w:proofErr w:type="spellEnd"/>
            <w:r w:rsidRPr="00F509FF">
              <w:rPr>
                <w:rFonts w:cstheme="minorHAnsi"/>
                <w:i/>
              </w:rPr>
              <w:t xml:space="preserve"> </w:t>
            </w:r>
            <w:proofErr w:type="spellStart"/>
            <w:r w:rsidRPr="00F509FF">
              <w:rPr>
                <w:rFonts w:cstheme="minorHAnsi"/>
                <w:i/>
              </w:rPr>
              <w:t>galbana</w:t>
            </w:r>
            <w:proofErr w:type="spellEnd"/>
          </w:p>
        </w:tc>
        <w:tc>
          <w:tcPr>
            <w:tcW w:w="625" w:type="pct"/>
            <w:shd w:val="clear" w:color="auto" w:fill="auto"/>
          </w:tcPr>
          <w:p w14:paraId="02B6A90E" w14:textId="41B1A0BD" w:rsidR="00206104" w:rsidRPr="00ED0727" w:rsidRDefault="00B22419" w:rsidP="00C00F3C">
            <w:pPr>
              <w:pStyle w:val="TableText"/>
              <w:rPr>
                <w:rFonts w:cstheme="minorHAnsi"/>
              </w:rPr>
            </w:pPr>
            <w:r>
              <w:rPr>
                <w:rFonts w:cstheme="minorHAnsi"/>
              </w:rPr>
              <w:t>–</w:t>
            </w:r>
          </w:p>
        </w:tc>
        <w:tc>
          <w:tcPr>
            <w:tcW w:w="547" w:type="pct"/>
            <w:shd w:val="clear" w:color="auto" w:fill="auto"/>
          </w:tcPr>
          <w:p w14:paraId="3480208E" w14:textId="77777777" w:rsidR="00206104" w:rsidRPr="00ED0727" w:rsidRDefault="00206104" w:rsidP="00C00F3C">
            <w:pPr>
              <w:pStyle w:val="TableText"/>
              <w:rPr>
                <w:rFonts w:cstheme="minorHAnsi"/>
              </w:rPr>
            </w:pPr>
            <w:r>
              <w:rPr>
                <w:rFonts w:cstheme="minorHAnsi"/>
              </w:rPr>
              <w:t>10</w:t>
            </w:r>
          </w:p>
        </w:tc>
        <w:tc>
          <w:tcPr>
            <w:tcW w:w="469" w:type="pct"/>
            <w:shd w:val="clear" w:color="auto" w:fill="auto"/>
          </w:tcPr>
          <w:p w14:paraId="326DB058"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2E3F0C67" w14:textId="77777777" w:rsidR="00304008" w:rsidRDefault="00206104" w:rsidP="00C00F3C">
            <w:pPr>
              <w:pStyle w:val="TableText"/>
              <w:rPr>
                <w:rFonts w:cstheme="minorHAnsi"/>
              </w:rPr>
            </w:pPr>
            <w:r>
              <w:rPr>
                <w:rFonts w:cstheme="minorHAnsi"/>
              </w:rPr>
              <w:t>EC50</w:t>
            </w:r>
          </w:p>
          <w:p w14:paraId="3512F8C3" w14:textId="523D5EB3" w:rsidR="00206104" w:rsidRPr="00ED0727" w:rsidDel="00C90968" w:rsidRDefault="00206104" w:rsidP="00C00F3C">
            <w:pPr>
              <w:pStyle w:val="TableText"/>
              <w:rPr>
                <w:rFonts w:cstheme="minorHAnsi"/>
              </w:rPr>
            </w:pPr>
            <w:r>
              <w:rPr>
                <w:rFonts w:cstheme="minorHAnsi"/>
              </w:rPr>
              <w:t>(Cell density)</w:t>
            </w:r>
          </w:p>
        </w:tc>
        <w:tc>
          <w:tcPr>
            <w:tcW w:w="546" w:type="pct"/>
            <w:shd w:val="clear" w:color="auto" w:fill="auto"/>
          </w:tcPr>
          <w:p w14:paraId="33DE0DAF" w14:textId="77777777" w:rsidR="00206104" w:rsidRPr="00ED0727" w:rsidRDefault="00206104" w:rsidP="00C00F3C">
            <w:pPr>
              <w:pStyle w:val="TableText"/>
              <w:rPr>
                <w:rFonts w:cstheme="minorHAnsi"/>
              </w:rPr>
            </w:pPr>
            <w:r>
              <w:rPr>
                <w:rFonts w:cstheme="minorHAnsi"/>
              </w:rPr>
              <w:t>500</w:t>
            </w:r>
          </w:p>
        </w:tc>
        <w:tc>
          <w:tcPr>
            <w:tcW w:w="545" w:type="pct"/>
            <w:shd w:val="clear" w:color="auto" w:fill="auto"/>
          </w:tcPr>
          <w:p w14:paraId="68BFB8EE" w14:textId="58EEF444" w:rsidR="00206104" w:rsidRPr="00ED0727" w:rsidRDefault="00206104" w:rsidP="00C00F3C">
            <w:pPr>
              <w:pStyle w:val="TableText"/>
              <w:rPr>
                <w:rFonts w:cstheme="minorHAnsi"/>
              </w:rPr>
            </w:pPr>
            <w:r>
              <w:rPr>
                <w:rFonts w:cstheme="minorHAnsi"/>
              </w:rPr>
              <w:t>100</w:t>
            </w:r>
            <w:r w:rsidR="00C00F3C">
              <w:rPr>
                <w:rFonts w:cstheme="minorHAnsi"/>
              </w:rPr>
              <w:t xml:space="preserve"> </w:t>
            </w:r>
            <w:r w:rsidRPr="00CB6891">
              <w:rPr>
                <w:rStyle w:val="Strong"/>
                <w:vertAlign w:val="superscript"/>
              </w:rPr>
              <w:t>b</w:t>
            </w:r>
          </w:p>
        </w:tc>
      </w:tr>
      <w:tr w:rsidR="00E948CE" w:rsidRPr="00ED0727" w14:paraId="75915726" w14:textId="77777777" w:rsidTr="002D41D6">
        <w:trPr>
          <w:cantSplit/>
          <w:trHeight w:val="283"/>
        </w:trPr>
        <w:tc>
          <w:tcPr>
            <w:tcW w:w="783" w:type="pct"/>
            <w:shd w:val="clear" w:color="auto" w:fill="auto"/>
          </w:tcPr>
          <w:p w14:paraId="43E8C287" w14:textId="7D5BBEB0" w:rsidR="00206104" w:rsidRPr="00ED0727" w:rsidRDefault="00206104" w:rsidP="00C00F3C">
            <w:pPr>
              <w:pStyle w:val="TableText"/>
              <w:rPr>
                <w:rFonts w:cstheme="minorHAnsi"/>
              </w:rPr>
            </w:pPr>
            <w:bookmarkStart w:id="21" w:name="_Hlk88484495"/>
            <w:r>
              <w:rPr>
                <w:rFonts w:cstheme="minorHAnsi"/>
              </w:rPr>
              <w:t>Crustacean</w:t>
            </w:r>
            <w:r>
              <w:rPr>
                <w:rFonts w:cstheme="minorHAnsi"/>
              </w:rPr>
              <w:br/>
              <w:t>(Arthropoda)</w:t>
            </w:r>
          </w:p>
        </w:tc>
        <w:tc>
          <w:tcPr>
            <w:tcW w:w="780" w:type="pct"/>
            <w:shd w:val="clear" w:color="auto" w:fill="auto"/>
          </w:tcPr>
          <w:p w14:paraId="537B94F3" w14:textId="77777777" w:rsidR="00206104" w:rsidRPr="00ED0727" w:rsidRDefault="00206104" w:rsidP="00C00F3C">
            <w:pPr>
              <w:pStyle w:val="TableText"/>
              <w:rPr>
                <w:rFonts w:cstheme="minorHAnsi"/>
                <w:i/>
              </w:rPr>
            </w:pPr>
            <w:proofErr w:type="spellStart"/>
            <w:r w:rsidRPr="00F509FF">
              <w:rPr>
                <w:rFonts w:cstheme="minorHAnsi"/>
                <w:i/>
              </w:rPr>
              <w:t>Neopanope</w:t>
            </w:r>
            <w:proofErr w:type="spellEnd"/>
            <w:r w:rsidRPr="00F509FF">
              <w:rPr>
                <w:rFonts w:cstheme="minorHAnsi"/>
                <w:i/>
              </w:rPr>
              <w:t xml:space="preserve"> texana</w:t>
            </w:r>
          </w:p>
        </w:tc>
        <w:tc>
          <w:tcPr>
            <w:tcW w:w="625" w:type="pct"/>
            <w:shd w:val="clear" w:color="auto" w:fill="auto"/>
          </w:tcPr>
          <w:p w14:paraId="470E1B4C" w14:textId="5B23FFD9" w:rsidR="00206104" w:rsidRPr="00ED0727" w:rsidRDefault="00B22419" w:rsidP="00C00F3C">
            <w:pPr>
              <w:pStyle w:val="TableText"/>
              <w:rPr>
                <w:rFonts w:cstheme="minorHAnsi"/>
              </w:rPr>
            </w:pPr>
            <w:r>
              <w:rPr>
                <w:rFonts w:cstheme="minorHAnsi"/>
              </w:rPr>
              <w:t>–</w:t>
            </w:r>
          </w:p>
        </w:tc>
        <w:tc>
          <w:tcPr>
            <w:tcW w:w="547" w:type="pct"/>
            <w:shd w:val="clear" w:color="auto" w:fill="auto"/>
          </w:tcPr>
          <w:p w14:paraId="033A1778" w14:textId="77777777" w:rsidR="00206104" w:rsidRPr="00ED0727" w:rsidRDefault="00206104" w:rsidP="00C00F3C">
            <w:pPr>
              <w:pStyle w:val="TableText"/>
              <w:rPr>
                <w:rFonts w:cstheme="minorHAnsi"/>
              </w:rPr>
            </w:pPr>
            <w:r>
              <w:rPr>
                <w:rFonts w:cstheme="minorHAnsi"/>
              </w:rPr>
              <w:t>4</w:t>
            </w:r>
          </w:p>
        </w:tc>
        <w:tc>
          <w:tcPr>
            <w:tcW w:w="469" w:type="pct"/>
            <w:shd w:val="clear" w:color="auto" w:fill="auto"/>
          </w:tcPr>
          <w:p w14:paraId="66A2F670" w14:textId="77777777" w:rsidR="00206104" w:rsidRDefault="00206104" w:rsidP="00C00F3C">
            <w:pPr>
              <w:pStyle w:val="TableText"/>
              <w:rPr>
                <w:rFonts w:cstheme="minorHAnsi"/>
              </w:rPr>
            </w:pPr>
            <w:r>
              <w:rPr>
                <w:rFonts w:cstheme="minorHAnsi"/>
              </w:rPr>
              <w:t>Acute</w:t>
            </w:r>
          </w:p>
        </w:tc>
        <w:tc>
          <w:tcPr>
            <w:tcW w:w="705" w:type="pct"/>
            <w:shd w:val="clear" w:color="auto" w:fill="auto"/>
          </w:tcPr>
          <w:p w14:paraId="737C0A15" w14:textId="77777777" w:rsidR="00304008" w:rsidRDefault="00206104" w:rsidP="00C00F3C">
            <w:pPr>
              <w:pStyle w:val="TableText"/>
              <w:rPr>
                <w:rFonts w:cstheme="minorHAnsi"/>
              </w:rPr>
            </w:pPr>
            <w:r>
              <w:rPr>
                <w:rFonts w:cstheme="minorHAnsi"/>
              </w:rPr>
              <w:t>LC50</w:t>
            </w:r>
          </w:p>
          <w:p w14:paraId="14D50819" w14:textId="1218889B" w:rsidR="00206104" w:rsidRPr="00ED0727" w:rsidRDefault="00206104" w:rsidP="00C00F3C">
            <w:pPr>
              <w:pStyle w:val="TableText"/>
              <w:rPr>
                <w:rFonts w:cstheme="minorHAnsi"/>
              </w:rPr>
            </w:pPr>
            <w:r>
              <w:rPr>
                <w:rFonts w:cstheme="minorHAnsi"/>
              </w:rPr>
              <w:t>(Mortality)</w:t>
            </w:r>
          </w:p>
        </w:tc>
        <w:tc>
          <w:tcPr>
            <w:tcW w:w="546" w:type="pct"/>
            <w:shd w:val="clear" w:color="auto" w:fill="auto"/>
          </w:tcPr>
          <w:p w14:paraId="4BA476A8" w14:textId="79B95433" w:rsidR="00206104" w:rsidRPr="00ED0727" w:rsidRDefault="00206104" w:rsidP="00C00F3C">
            <w:pPr>
              <w:pStyle w:val="TableText"/>
              <w:rPr>
                <w:rFonts w:cstheme="minorHAnsi"/>
              </w:rPr>
            </w:pPr>
            <w:r>
              <w:rPr>
                <w:rFonts w:cstheme="minorHAnsi"/>
              </w:rPr>
              <w:t>1</w:t>
            </w:r>
            <w:r w:rsidR="00C00F3C">
              <w:rPr>
                <w:rFonts w:cstheme="minorHAnsi"/>
              </w:rPr>
              <w:t> </w:t>
            </w:r>
            <w:r>
              <w:rPr>
                <w:rFonts w:cstheme="minorHAnsi"/>
              </w:rPr>
              <w:t>000</w:t>
            </w:r>
            <w:r w:rsidR="00C00F3C">
              <w:rPr>
                <w:rFonts w:cstheme="minorHAnsi"/>
              </w:rPr>
              <w:t> </w:t>
            </w:r>
            <w:r>
              <w:rPr>
                <w:rFonts w:cstheme="minorHAnsi"/>
              </w:rPr>
              <w:t>000</w:t>
            </w:r>
          </w:p>
        </w:tc>
        <w:tc>
          <w:tcPr>
            <w:tcW w:w="545" w:type="pct"/>
            <w:shd w:val="clear" w:color="auto" w:fill="auto"/>
          </w:tcPr>
          <w:p w14:paraId="7F68E11F" w14:textId="73605D05" w:rsidR="00206104" w:rsidRPr="00ED0727" w:rsidRDefault="00206104" w:rsidP="00C00F3C">
            <w:pPr>
              <w:pStyle w:val="TableText"/>
              <w:rPr>
                <w:rFonts w:cstheme="minorHAnsi"/>
              </w:rPr>
            </w:pPr>
            <w:r>
              <w:rPr>
                <w:rFonts w:cstheme="minorHAnsi"/>
              </w:rPr>
              <w:t>100</w:t>
            </w:r>
            <w:r w:rsidR="00C00F3C">
              <w:rPr>
                <w:rFonts w:cstheme="minorHAnsi"/>
              </w:rPr>
              <w:t> </w:t>
            </w:r>
            <w:r>
              <w:rPr>
                <w:rFonts w:cstheme="minorHAnsi"/>
              </w:rPr>
              <w:t>000</w:t>
            </w:r>
            <w:r w:rsidR="00C00F3C">
              <w:rPr>
                <w:rFonts w:cstheme="minorHAnsi"/>
              </w:rPr>
              <w:t xml:space="preserve"> </w:t>
            </w:r>
            <w:r w:rsidRPr="00CB6891">
              <w:rPr>
                <w:rStyle w:val="Strong"/>
                <w:vertAlign w:val="superscript"/>
              </w:rPr>
              <w:t>c</w:t>
            </w:r>
          </w:p>
        </w:tc>
      </w:tr>
      <w:bookmarkEnd w:id="21"/>
      <w:tr w:rsidR="00E948CE" w:rsidRPr="00ED0727" w14:paraId="18F510F2" w14:textId="77777777" w:rsidTr="002D41D6">
        <w:trPr>
          <w:cantSplit/>
          <w:trHeight w:val="283"/>
        </w:trPr>
        <w:tc>
          <w:tcPr>
            <w:tcW w:w="783" w:type="pct"/>
            <w:shd w:val="clear" w:color="auto" w:fill="auto"/>
          </w:tcPr>
          <w:p w14:paraId="63C9346E" w14:textId="0073DCB9" w:rsidR="00206104" w:rsidRDefault="00206104" w:rsidP="00C00F3C">
            <w:pPr>
              <w:pStyle w:val="TableText"/>
              <w:rPr>
                <w:rFonts w:cstheme="minorHAnsi"/>
              </w:rPr>
            </w:pPr>
            <w:r>
              <w:rPr>
                <w:rFonts w:cstheme="minorHAnsi"/>
              </w:rPr>
              <w:t>Crustacean</w:t>
            </w:r>
            <w:r>
              <w:rPr>
                <w:rFonts w:cstheme="minorHAnsi"/>
              </w:rPr>
              <w:br/>
              <w:t>(Arthropoda)</w:t>
            </w:r>
          </w:p>
        </w:tc>
        <w:tc>
          <w:tcPr>
            <w:tcW w:w="780" w:type="pct"/>
            <w:shd w:val="clear" w:color="auto" w:fill="auto"/>
          </w:tcPr>
          <w:p w14:paraId="38ED41E5" w14:textId="77777777" w:rsidR="00206104" w:rsidRPr="00F509FF" w:rsidRDefault="00206104" w:rsidP="00C00F3C">
            <w:pPr>
              <w:pStyle w:val="TableText"/>
              <w:rPr>
                <w:rFonts w:cstheme="minorHAnsi"/>
                <w:i/>
              </w:rPr>
            </w:pPr>
            <w:proofErr w:type="spellStart"/>
            <w:r w:rsidRPr="00F509FF">
              <w:rPr>
                <w:rFonts w:cstheme="minorHAnsi"/>
                <w:i/>
              </w:rPr>
              <w:t>Palaemonetes</w:t>
            </w:r>
            <w:proofErr w:type="spellEnd"/>
            <w:r w:rsidRPr="00F509FF">
              <w:rPr>
                <w:rFonts w:cstheme="minorHAnsi"/>
                <w:i/>
              </w:rPr>
              <w:t xml:space="preserve"> </w:t>
            </w:r>
            <w:proofErr w:type="spellStart"/>
            <w:r w:rsidRPr="00F509FF">
              <w:rPr>
                <w:rFonts w:cstheme="minorHAnsi"/>
                <w:i/>
              </w:rPr>
              <w:t>kadiakensis</w:t>
            </w:r>
            <w:proofErr w:type="spellEnd"/>
          </w:p>
        </w:tc>
        <w:tc>
          <w:tcPr>
            <w:tcW w:w="625" w:type="pct"/>
            <w:shd w:val="clear" w:color="auto" w:fill="auto"/>
          </w:tcPr>
          <w:p w14:paraId="0105B12E" w14:textId="412C9455" w:rsidR="00206104" w:rsidRPr="00ED0727" w:rsidRDefault="00B22419" w:rsidP="00C00F3C">
            <w:pPr>
              <w:pStyle w:val="TableText"/>
              <w:rPr>
                <w:rFonts w:cstheme="minorHAnsi"/>
              </w:rPr>
            </w:pPr>
            <w:r>
              <w:rPr>
                <w:rFonts w:cstheme="minorHAnsi"/>
              </w:rPr>
              <w:t>–</w:t>
            </w:r>
          </w:p>
        </w:tc>
        <w:tc>
          <w:tcPr>
            <w:tcW w:w="547" w:type="pct"/>
            <w:shd w:val="clear" w:color="auto" w:fill="auto"/>
          </w:tcPr>
          <w:p w14:paraId="526AF406" w14:textId="77777777" w:rsidR="00206104" w:rsidRPr="00ED0727" w:rsidRDefault="00206104" w:rsidP="00C00F3C">
            <w:pPr>
              <w:pStyle w:val="TableText"/>
              <w:rPr>
                <w:rFonts w:cstheme="minorHAnsi"/>
              </w:rPr>
            </w:pPr>
            <w:r>
              <w:rPr>
                <w:rFonts w:cstheme="minorHAnsi"/>
              </w:rPr>
              <w:t>2</w:t>
            </w:r>
          </w:p>
        </w:tc>
        <w:tc>
          <w:tcPr>
            <w:tcW w:w="469" w:type="pct"/>
            <w:shd w:val="clear" w:color="auto" w:fill="auto"/>
          </w:tcPr>
          <w:p w14:paraId="6C205A80" w14:textId="77777777" w:rsidR="00206104" w:rsidRDefault="00206104" w:rsidP="00C00F3C">
            <w:pPr>
              <w:pStyle w:val="TableText"/>
              <w:rPr>
                <w:rFonts w:cstheme="minorHAnsi"/>
              </w:rPr>
            </w:pPr>
            <w:r>
              <w:rPr>
                <w:rFonts w:cstheme="minorHAnsi"/>
              </w:rPr>
              <w:t>Acute</w:t>
            </w:r>
          </w:p>
        </w:tc>
        <w:tc>
          <w:tcPr>
            <w:tcW w:w="705" w:type="pct"/>
            <w:shd w:val="clear" w:color="auto" w:fill="auto"/>
          </w:tcPr>
          <w:p w14:paraId="07FB2E69" w14:textId="77777777" w:rsidR="00304008" w:rsidRDefault="00206104" w:rsidP="00C00F3C">
            <w:pPr>
              <w:pStyle w:val="TableText"/>
              <w:rPr>
                <w:rFonts w:cstheme="minorHAnsi"/>
              </w:rPr>
            </w:pPr>
            <w:r>
              <w:rPr>
                <w:rFonts w:cstheme="minorHAnsi"/>
              </w:rPr>
              <w:t>LC50</w:t>
            </w:r>
          </w:p>
          <w:p w14:paraId="303CE161" w14:textId="27CA2C77" w:rsidR="00206104" w:rsidRPr="00ED0727" w:rsidRDefault="00206104" w:rsidP="00C00F3C">
            <w:pPr>
              <w:pStyle w:val="TableText"/>
              <w:rPr>
                <w:rFonts w:cstheme="minorHAnsi"/>
              </w:rPr>
            </w:pPr>
            <w:r>
              <w:rPr>
                <w:rFonts w:cstheme="minorHAnsi"/>
              </w:rPr>
              <w:t>(Mortality)</w:t>
            </w:r>
          </w:p>
        </w:tc>
        <w:tc>
          <w:tcPr>
            <w:tcW w:w="546" w:type="pct"/>
            <w:shd w:val="clear" w:color="auto" w:fill="auto"/>
          </w:tcPr>
          <w:p w14:paraId="2A9F09E6" w14:textId="121A5008" w:rsidR="00206104" w:rsidRPr="00ED0727" w:rsidRDefault="00206104" w:rsidP="00C00F3C">
            <w:pPr>
              <w:pStyle w:val="TableText"/>
              <w:rPr>
                <w:rFonts w:cstheme="minorHAnsi"/>
              </w:rPr>
            </w:pPr>
            <w:r>
              <w:rPr>
                <w:rFonts w:cstheme="minorHAnsi"/>
              </w:rPr>
              <w:t>100</w:t>
            </w:r>
            <w:r w:rsidR="00C00F3C">
              <w:rPr>
                <w:rFonts w:cstheme="minorHAnsi"/>
              </w:rPr>
              <w:t> </w:t>
            </w:r>
            <w:r>
              <w:rPr>
                <w:rFonts w:cstheme="minorHAnsi"/>
              </w:rPr>
              <w:t>000</w:t>
            </w:r>
          </w:p>
        </w:tc>
        <w:tc>
          <w:tcPr>
            <w:tcW w:w="545" w:type="pct"/>
            <w:shd w:val="clear" w:color="auto" w:fill="auto"/>
          </w:tcPr>
          <w:p w14:paraId="324B9738" w14:textId="56A55580" w:rsidR="00206104" w:rsidRPr="00ED0727" w:rsidRDefault="00206104" w:rsidP="00C00F3C">
            <w:pPr>
              <w:pStyle w:val="TableText"/>
              <w:rPr>
                <w:rFonts w:cstheme="minorHAnsi"/>
              </w:rPr>
            </w:pPr>
            <w:r>
              <w:rPr>
                <w:rFonts w:cstheme="minorHAnsi"/>
              </w:rPr>
              <w:t>10</w:t>
            </w:r>
            <w:r w:rsidR="00C00F3C">
              <w:rPr>
                <w:rFonts w:cstheme="minorHAnsi"/>
              </w:rPr>
              <w:t> </w:t>
            </w:r>
            <w:r>
              <w:rPr>
                <w:rFonts w:cstheme="minorHAnsi"/>
              </w:rPr>
              <w:t>000</w:t>
            </w:r>
            <w:r w:rsidR="00C00F3C">
              <w:rPr>
                <w:rFonts w:cstheme="minorHAnsi"/>
              </w:rPr>
              <w:t xml:space="preserve"> </w:t>
            </w:r>
            <w:r w:rsidRPr="00CB6891">
              <w:rPr>
                <w:rStyle w:val="Strong"/>
                <w:vertAlign w:val="superscript"/>
              </w:rPr>
              <w:t>c</w:t>
            </w:r>
          </w:p>
        </w:tc>
      </w:tr>
      <w:tr w:rsidR="00E948CE" w:rsidRPr="00ED0727" w14:paraId="6B92AC54" w14:textId="77777777" w:rsidTr="002D41D6">
        <w:trPr>
          <w:cantSplit/>
          <w:trHeight w:val="283"/>
        </w:trPr>
        <w:tc>
          <w:tcPr>
            <w:tcW w:w="783" w:type="pct"/>
            <w:shd w:val="clear" w:color="auto" w:fill="auto"/>
          </w:tcPr>
          <w:p w14:paraId="0C97BFFA" w14:textId="46C342DF" w:rsidR="00206104" w:rsidRPr="00ED0727" w:rsidRDefault="00206104" w:rsidP="00C00F3C">
            <w:pPr>
              <w:pStyle w:val="TableText"/>
              <w:rPr>
                <w:rFonts w:cstheme="minorHAnsi"/>
              </w:rPr>
            </w:pPr>
            <w:r>
              <w:rPr>
                <w:rFonts w:cstheme="minorHAnsi"/>
              </w:rPr>
              <w:t>Crustacean</w:t>
            </w:r>
            <w:r>
              <w:rPr>
                <w:rFonts w:cstheme="minorHAnsi"/>
              </w:rPr>
              <w:br/>
              <w:t>(Arthropoda)</w:t>
            </w:r>
          </w:p>
        </w:tc>
        <w:tc>
          <w:tcPr>
            <w:tcW w:w="780" w:type="pct"/>
            <w:shd w:val="clear" w:color="auto" w:fill="auto"/>
          </w:tcPr>
          <w:p w14:paraId="34AC85CE" w14:textId="77777777" w:rsidR="00206104" w:rsidRPr="00ED0727" w:rsidRDefault="00206104" w:rsidP="00C00F3C">
            <w:pPr>
              <w:pStyle w:val="TableText"/>
              <w:rPr>
                <w:rFonts w:cstheme="minorHAnsi"/>
                <w:i/>
              </w:rPr>
            </w:pPr>
            <w:r w:rsidRPr="00F509FF">
              <w:rPr>
                <w:rFonts w:cstheme="minorHAnsi"/>
                <w:i/>
              </w:rPr>
              <w:t xml:space="preserve">Penaeus </w:t>
            </w:r>
            <w:proofErr w:type="spellStart"/>
            <w:r w:rsidRPr="00F509FF">
              <w:rPr>
                <w:rFonts w:cstheme="minorHAnsi"/>
                <w:i/>
              </w:rPr>
              <w:t>duorarum</w:t>
            </w:r>
            <w:proofErr w:type="spellEnd"/>
          </w:p>
        </w:tc>
        <w:tc>
          <w:tcPr>
            <w:tcW w:w="625" w:type="pct"/>
            <w:shd w:val="clear" w:color="auto" w:fill="auto"/>
          </w:tcPr>
          <w:p w14:paraId="5995FB36" w14:textId="7753A196" w:rsidR="00206104" w:rsidRPr="00ED0727" w:rsidRDefault="00B22419" w:rsidP="00C00F3C">
            <w:pPr>
              <w:pStyle w:val="TableText"/>
              <w:rPr>
                <w:rFonts w:cstheme="minorHAnsi"/>
              </w:rPr>
            </w:pPr>
            <w:r>
              <w:rPr>
                <w:rFonts w:cstheme="minorHAnsi"/>
              </w:rPr>
              <w:t>–</w:t>
            </w:r>
          </w:p>
        </w:tc>
        <w:tc>
          <w:tcPr>
            <w:tcW w:w="547" w:type="pct"/>
            <w:shd w:val="clear" w:color="auto" w:fill="auto"/>
          </w:tcPr>
          <w:p w14:paraId="69D33C7A" w14:textId="77777777" w:rsidR="00206104" w:rsidRPr="00ED0727" w:rsidRDefault="00206104" w:rsidP="00C00F3C">
            <w:pPr>
              <w:pStyle w:val="TableText"/>
              <w:rPr>
                <w:rFonts w:cstheme="minorHAnsi"/>
              </w:rPr>
            </w:pPr>
            <w:r>
              <w:rPr>
                <w:rFonts w:cstheme="minorHAnsi"/>
              </w:rPr>
              <w:t>4</w:t>
            </w:r>
          </w:p>
        </w:tc>
        <w:tc>
          <w:tcPr>
            <w:tcW w:w="469" w:type="pct"/>
            <w:shd w:val="clear" w:color="auto" w:fill="auto"/>
          </w:tcPr>
          <w:p w14:paraId="67C409CE" w14:textId="77777777" w:rsidR="00206104" w:rsidRDefault="00206104" w:rsidP="00C00F3C">
            <w:pPr>
              <w:pStyle w:val="TableText"/>
              <w:rPr>
                <w:rFonts w:cstheme="minorHAnsi"/>
              </w:rPr>
            </w:pPr>
            <w:r>
              <w:rPr>
                <w:rFonts w:cstheme="minorHAnsi"/>
              </w:rPr>
              <w:t>Acute</w:t>
            </w:r>
          </w:p>
        </w:tc>
        <w:tc>
          <w:tcPr>
            <w:tcW w:w="705" w:type="pct"/>
            <w:shd w:val="clear" w:color="auto" w:fill="auto"/>
          </w:tcPr>
          <w:p w14:paraId="33F21881" w14:textId="77777777" w:rsidR="00304008" w:rsidRDefault="00206104" w:rsidP="00C00F3C">
            <w:pPr>
              <w:pStyle w:val="TableText"/>
              <w:rPr>
                <w:rFonts w:cstheme="minorHAnsi"/>
              </w:rPr>
            </w:pPr>
            <w:r>
              <w:rPr>
                <w:rFonts w:cstheme="minorHAnsi"/>
              </w:rPr>
              <w:t>LC50</w:t>
            </w:r>
          </w:p>
          <w:p w14:paraId="66B91CD8" w14:textId="69A2DB76" w:rsidR="00206104" w:rsidRPr="00ED0727" w:rsidRDefault="00206104" w:rsidP="00C00F3C">
            <w:pPr>
              <w:pStyle w:val="TableText"/>
              <w:rPr>
                <w:rFonts w:cstheme="minorHAnsi"/>
              </w:rPr>
            </w:pPr>
            <w:r>
              <w:rPr>
                <w:rFonts w:cstheme="minorHAnsi"/>
              </w:rPr>
              <w:t>(Mortality)</w:t>
            </w:r>
          </w:p>
        </w:tc>
        <w:tc>
          <w:tcPr>
            <w:tcW w:w="546" w:type="pct"/>
            <w:shd w:val="clear" w:color="auto" w:fill="auto"/>
          </w:tcPr>
          <w:p w14:paraId="669471B8" w14:textId="3B29CD02" w:rsidR="00206104" w:rsidRPr="00ED0727" w:rsidRDefault="00206104" w:rsidP="00C00F3C">
            <w:pPr>
              <w:pStyle w:val="TableText"/>
              <w:rPr>
                <w:rFonts w:cstheme="minorHAnsi"/>
              </w:rPr>
            </w:pPr>
            <w:r>
              <w:rPr>
                <w:rFonts w:cstheme="minorHAnsi"/>
              </w:rPr>
              <w:t>113</w:t>
            </w:r>
            <w:r w:rsidR="00C00F3C">
              <w:rPr>
                <w:rFonts w:cstheme="minorHAnsi"/>
              </w:rPr>
              <w:t> </w:t>
            </w:r>
            <w:r>
              <w:rPr>
                <w:rFonts w:cstheme="minorHAnsi"/>
              </w:rPr>
              <w:t>000</w:t>
            </w:r>
          </w:p>
        </w:tc>
        <w:tc>
          <w:tcPr>
            <w:tcW w:w="545" w:type="pct"/>
            <w:shd w:val="clear" w:color="auto" w:fill="auto"/>
          </w:tcPr>
          <w:p w14:paraId="67DB8538" w14:textId="259E7083" w:rsidR="00206104" w:rsidRPr="00ED0727" w:rsidRDefault="00206104" w:rsidP="00C00F3C">
            <w:pPr>
              <w:pStyle w:val="TableText"/>
              <w:rPr>
                <w:rFonts w:cstheme="minorHAnsi"/>
              </w:rPr>
            </w:pPr>
            <w:r>
              <w:rPr>
                <w:rFonts w:cstheme="minorHAnsi"/>
              </w:rPr>
              <w:t>11</w:t>
            </w:r>
            <w:r w:rsidR="00C00F3C">
              <w:rPr>
                <w:rFonts w:cstheme="minorHAnsi"/>
              </w:rPr>
              <w:t> </w:t>
            </w:r>
            <w:r>
              <w:rPr>
                <w:rFonts w:cstheme="minorHAnsi"/>
              </w:rPr>
              <w:t>300</w:t>
            </w:r>
            <w:r w:rsidR="00C00F3C">
              <w:rPr>
                <w:rFonts w:cstheme="minorHAnsi"/>
              </w:rPr>
              <w:t xml:space="preserve"> </w:t>
            </w:r>
            <w:r w:rsidRPr="00CB6891">
              <w:rPr>
                <w:rStyle w:val="Strong"/>
                <w:vertAlign w:val="superscript"/>
              </w:rPr>
              <w:t>c</w:t>
            </w:r>
          </w:p>
        </w:tc>
      </w:tr>
      <w:tr w:rsidR="00E948CE" w:rsidRPr="00ED0727" w14:paraId="2B04744D" w14:textId="77777777" w:rsidTr="002D41D6">
        <w:trPr>
          <w:cantSplit/>
          <w:trHeight w:val="283"/>
        </w:trPr>
        <w:tc>
          <w:tcPr>
            <w:tcW w:w="783" w:type="pct"/>
            <w:shd w:val="clear" w:color="auto" w:fill="auto"/>
          </w:tcPr>
          <w:p w14:paraId="74E9FD6F" w14:textId="662FE8C4" w:rsidR="00206104" w:rsidRPr="00ED0727" w:rsidRDefault="00206104" w:rsidP="00C00F3C">
            <w:pPr>
              <w:pStyle w:val="TableText"/>
              <w:rPr>
                <w:color w:val="000000"/>
              </w:rPr>
            </w:pPr>
            <w:r w:rsidRPr="00ED0727">
              <w:rPr>
                <w:rFonts w:cstheme="minorHAnsi"/>
              </w:rPr>
              <w:t>Diatom (Bacillariophyta)</w:t>
            </w:r>
          </w:p>
        </w:tc>
        <w:tc>
          <w:tcPr>
            <w:tcW w:w="780" w:type="pct"/>
            <w:shd w:val="clear" w:color="auto" w:fill="auto"/>
          </w:tcPr>
          <w:p w14:paraId="4FAC9352" w14:textId="1778E0DF" w:rsidR="00206104" w:rsidRPr="00ED0727" w:rsidRDefault="00206104" w:rsidP="00C00F3C">
            <w:pPr>
              <w:pStyle w:val="TableText"/>
              <w:rPr>
                <w:i/>
                <w:color w:val="000000"/>
              </w:rPr>
            </w:pPr>
            <w:proofErr w:type="spellStart"/>
            <w:r w:rsidRPr="00ED0727">
              <w:rPr>
                <w:rFonts w:cstheme="minorHAnsi"/>
                <w:i/>
              </w:rPr>
              <w:t>Phaeodactylum</w:t>
            </w:r>
            <w:proofErr w:type="spellEnd"/>
            <w:r w:rsidRPr="00ED0727">
              <w:rPr>
                <w:rFonts w:cstheme="minorHAnsi"/>
                <w:i/>
              </w:rPr>
              <w:t xml:space="preserve"> </w:t>
            </w:r>
            <w:proofErr w:type="spellStart"/>
            <w:r w:rsidRPr="00ED0727">
              <w:rPr>
                <w:rFonts w:cstheme="minorHAnsi"/>
                <w:i/>
              </w:rPr>
              <w:t>tricornutum</w:t>
            </w:r>
            <w:proofErr w:type="spellEnd"/>
            <w:r w:rsidR="002D41D6">
              <w:rPr>
                <w:rFonts w:cstheme="minorHAnsi"/>
                <w:i/>
              </w:rPr>
              <w:t> </w:t>
            </w:r>
            <w:r w:rsidRPr="00CB6891">
              <w:rPr>
                <w:rStyle w:val="Strong"/>
                <w:vertAlign w:val="superscript"/>
              </w:rPr>
              <w:t>d</w:t>
            </w:r>
          </w:p>
        </w:tc>
        <w:tc>
          <w:tcPr>
            <w:tcW w:w="625" w:type="pct"/>
            <w:shd w:val="clear" w:color="auto" w:fill="auto"/>
          </w:tcPr>
          <w:p w14:paraId="2A9C7E57" w14:textId="77777777" w:rsidR="00206104" w:rsidRPr="00ED0727" w:rsidRDefault="00206104" w:rsidP="00C00F3C">
            <w:pPr>
              <w:pStyle w:val="TableText"/>
            </w:pPr>
            <w:r w:rsidRPr="00ED0727">
              <w:rPr>
                <w:rFonts w:cstheme="minorHAnsi"/>
              </w:rPr>
              <w:t xml:space="preserve">Exponential growth phase </w:t>
            </w:r>
          </w:p>
        </w:tc>
        <w:tc>
          <w:tcPr>
            <w:tcW w:w="547" w:type="pct"/>
            <w:shd w:val="clear" w:color="auto" w:fill="auto"/>
          </w:tcPr>
          <w:p w14:paraId="50A7A95E" w14:textId="77777777" w:rsidR="00206104" w:rsidRPr="00ED0727" w:rsidRDefault="00206104" w:rsidP="00C00F3C">
            <w:pPr>
              <w:pStyle w:val="TableText"/>
            </w:pPr>
            <w:r w:rsidRPr="00ED0727">
              <w:rPr>
                <w:rFonts w:cstheme="minorHAnsi"/>
              </w:rPr>
              <w:t>3</w:t>
            </w:r>
          </w:p>
        </w:tc>
        <w:tc>
          <w:tcPr>
            <w:tcW w:w="469" w:type="pct"/>
            <w:shd w:val="clear" w:color="auto" w:fill="auto"/>
          </w:tcPr>
          <w:p w14:paraId="4B196C37"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2959577E" w14:textId="77777777" w:rsidR="00206104" w:rsidRPr="00ED0727" w:rsidRDefault="00206104" w:rsidP="00C00F3C">
            <w:pPr>
              <w:pStyle w:val="TableText"/>
              <w:rPr>
                <w:rFonts w:cstheme="minorHAnsi"/>
              </w:rPr>
            </w:pPr>
            <w:r w:rsidRPr="00ED0727">
              <w:rPr>
                <w:rFonts w:cstheme="minorHAnsi"/>
              </w:rPr>
              <w:t>IC10</w:t>
            </w:r>
          </w:p>
          <w:p w14:paraId="637E4A9F" w14:textId="74BDB9E5" w:rsidR="00206104" w:rsidRPr="00ED0727" w:rsidRDefault="00206104" w:rsidP="00C00F3C">
            <w:pPr>
              <w:pStyle w:val="TableText"/>
            </w:pPr>
            <w:r w:rsidRPr="00ED0727">
              <w:rPr>
                <w:rFonts w:cstheme="minorHAnsi"/>
              </w:rPr>
              <w:t>(</w:t>
            </w:r>
            <w:r w:rsidR="008A5498">
              <w:rPr>
                <w:rFonts w:cstheme="minorHAnsi"/>
              </w:rPr>
              <w:t>Growth rate</w:t>
            </w:r>
            <w:r w:rsidRPr="00ED0727">
              <w:rPr>
                <w:rFonts w:cstheme="minorHAnsi"/>
              </w:rPr>
              <w:t>)</w:t>
            </w:r>
          </w:p>
        </w:tc>
        <w:tc>
          <w:tcPr>
            <w:tcW w:w="546" w:type="pct"/>
            <w:shd w:val="clear" w:color="auto" w:fill="auto"/>
          </w:tcPr>
          <w:p w14:paraId="7F01AB65" w14:textId="77777777" w:rsidR="00206104" w:rsidRPr="00ED0727" w:rsidRDefault="00206104" w:rsidP="00C00F3C">
            <w:pPr>
              <w:pStyle w:val="TableText"/>
            </w:pPr>
            <w:r w:rsidRPr="00ED0727">
              <w:rPr>
                <w:rFonts w:cstheme="minorHAnsi"/>
              </w:rPr>
              <w:t>100</w:t>
            </w:r>
          </w:p>
        </w:tc>
        <w:tc>
          <w:tcPr>
            <w:tcW w:w="545" w:type="pct"/>
            <w:shd w:val="clear" w:color="auto" w:fill="auto"/>
          </w:tcPr>
          <w:p w14:paraId="7E1948A2" w14:textId="77777777" w:rsidR="00206104" w:rsidRPr="00ED0727" w:rsidRDefault="00206104" w:rsidP="00C00F3C">
            <w:pPr>
              <w:pStyle w:val="TableText"/>
            </w:pPr>
            <w:r w:rsidRPr="00ED0727">
              <w:rPr>
                <w:rFonts w:cstheme="minorHAnsi"/>
              </w:rPr>
              <w:t>100</w:t>
            </w:r>
          </w:p>
        </w:tc>
      </w:tr>
      <w:tr w:rsidR="00E948CE" w:rsidRPr="00ED0727" w14:paraId="05154490" w14:textId="77777777" w:rsidTr="002D41D6">
        <w:trPr>
          <w:cantSplit/>
          <w:trHeight w:val="283"/>
        </w:trPr>
        <w:tc>
          <w:tcPr>
            <w:tcW w:w="783" w:type="pct"/>
            <w:shd w:val="clear" w:color="auto" w:fill="auto"/>
          </w:tcPr>
          <w:p w14:paraId="64EE74C7" w14:textId="772621E4" w:rsidR="00206104" w:rsidRPr="00ED0727" w:rsidRDefault="00206104" w:rsidP="00C00F3C">
            <w:pPr>
              <w:pStyle w:val="TableText"/>
              <w:rPr>
                <w:color w:val="000000"/>
              </w:rPr>
            </w:pPr>
            <w:r w:rsidRPr="00ED0727">
              <w:rPr>
                <w:rFonts w:cstheme="minorHAnsi"/>
              </w:rPr>
              <w:t>Cryptomonad</w:t>
            </w:r>
            <w:r w:rsidRPr="00ED0727">
              <w:rPr>
                <w:rFonts w:cstheme="minorHAnsi"/>
              </w:rPr>
              <w:br/>
              <w:t>(</w:t>
            </w:r>
            <w:proofErr w:type="spellStart"/>
            <w:r w:rsidRPr="00ED0727">
              <w:rPr>
                <w:rFonts w:cstheme="minorHAnsi"/>
              </w:rPr>
              <w:t>Cryptophyta</w:t>
            </w:r>
            <w:proofErr w:type="spellEnd"/>
            <w:r w:rsidRPr="00ED0727">
              <w:rPr>
                <w:rFonts w:cstheme="minorHAnsi"/>
              </w:rPr>
              <w:t>)</w:t>
            </w:r>
          </w:p>
        </w:tc>
        <w:tc>
          <w:tcPr>
            <w:tcW w:w="780" w:type="pct"/>
            <w:shd w:val="clear" w:color="auto" w:fill="auto"/>
          </w:tcPr>
          <w:p w14:paraId="2B02E916" w14:textId="77777777" w:rsidR="00206104" w:rsidRPr="00ED0727" w:rsidRDefault="00206104" w:rsidP="00C00F3C">
            <w:pPr>
              <w:pStyle w:val="TableText"/>
              <w:rPr>
                <w:i/>
                <w:color w:val="000000"/>
              </w:rPr>
            </w:pPr>
            <w:proofErr w:type="spellStart"/>
            <w:r w:rsidRPr="00ED0727">
              <w:rPr>
                <w:rFonts w:cstheme="minorHAnsi"/>
                <w:i/>
              </w:rPr>
              <w:t>Rhodomonas</w:t>
            </w:r>
            <w:proofErr w:type="spellEnd"/>
            <w:r w:rsidRPr="00ED0727">
              <w:rPr>
                <w:rFonts w:cstheme="minorHAnsi"/>
                <w:i/>
              </w:rPr>
              <w:t xml:space="preserve"> salina</w:t>
            </w:r>
          </w:p>
        </w:tc>
        <w:tc>
          <w:tcPr>
            <w:tcW w:w="625" w:type="pct"/>
            <w:shd w:val="clear" w:color="auto" w:fill="auto"/>
          </w:tcPr>
          <w:p w14:paraId="29B4AEF6" w14:textId="77777777" w:rsidR="00206104" w:rsidRPr="00ED0727" w:rsidRDefault="00206104" w:rsidP="00C00F3C">
            <w:pPr>
              <w:pStyle w:val="TableText"/>
            </w:pPr>
            <w:r w:rsidRPr="00ED0727">
              <w:rPr>
                <w:rFonts w:cstheme="minorHAnsi"/>
              </w:rPr>
              <w:t>Exponential growth phase</w:t>
            </w:r>
          </w:p>
        </w:tc>
        <w:tc>
          <w:tcPr>
            <w:tcW w:w="547" w:type="pct"/>
            <w:shd w:val="clear" w:color="auto" w:fill="auto"/>
          </w:tcPr>
          <w:p w14:paraId="13A8CF2A" w14:textId="77777777" w:rsidR="00206104" w:rsidRPr="00ED0727" w:rsidRDefault="00206104" w:rsidP="00C00F3C">
            <w:pPr>
              <w:pStyle w:val="TableText"/>
            </w:pPr>
            <w:r w:rsidRPr="00ED0727">
              <w:rPr>
                <w:rFonts w:cstheme="minorHAnsi"/>
              </w:rPr>
              <w:t>3</w:t>
            </w:r>
          </w:p>
        </w:tc>
        <w:tc>
          <w:tcPr>
            <w:tcW w:w="469" w:type="pct"/>
            <w:shd w:val="clear" w:color="auto" w:fill="auto"/>
          </w:tcPr>
          <w:p w14:paraId="4E202FC9"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43D60E55" w14:textId="77777777" w:rsidR="00206104" w:rsidRPr="00ED0727" w:rsidRDefault="00206104" w:rsidP="00C00F3C">
            <w:pPr>
              <w:pStyle w:val="TableText"/>
              <w:rPr>
                <w:rFonts w:cstheme="minorHAnsi"/>
              </w:rPr>
            </w:pPr>
            <w:r w:rsidRPr="00ED0727">
              <w:rPr>
                <w:rFonts w:cstheme="minorHAnsi"/>
              </w:rPr>
              <w:t>EC10</w:t>
            </w:r>
          </w:p>
          <w:p w14:paraId="05F0A454" w14:textId="77777777" w:rsidR="00206104" w:rsidRPr="00ED0727" w:rsidRDefault="00206104" w:rsidP="00C00F3C">
            <w:pPr>
              <w:pStyle w:val="TableText"/>
            </w:pPr>
            <w:r w:rsidRPr="00ED0727">
              <w:rPr>
                <w:rFonts w:cstheme="minorHAnsi"/>
              </w:rPr>
              <w:t>(Growth rate)</w:t>
            </w:r>
          </w:p>
        </w:tc>
        <w:tc>
          <w:tcPr>
            <w:tcW w:w="546" w:type="pct"/>
            <w:shd w:val="clear" w:color="auto" w:fill="auto"/>
          </w:tcPr>
          <w:p w14:paraId="7BDCEEFF" w14:textId="77777777" w:rsidR="00206104" w:rsidRPr="00ED0727" w:rsidRDefault="00206104" w:rsidP="00C00F3C">
            <w:pPr>
              <w:pStyle w:val="TableText"/>
            </w:pPr>
            <w:r w:rsidRPr="00ED0727">
              <w:rPr>
                <w:rFonts w:cstheme="minorHAnsi"/>
              </w:rPr>
              <w:t>38.4</w:t>
            </w:r>
          </w:p>
        </w:tc>
        <w:tc>
          <w:tcPr>
            <w:tcW w:w="545" w:type="pct"/>
            <w:shd w:val="clear" w:color="auto" w:fill="auto"/>
          </w:tcPr>
          <w:p w14:paraId="65C9AD96" w14:textId="77777777" w:rsidR="00206104" w:rsidRPr="00ED0727" w:rsidRDefault="00206104" w:rsidP="00C00F3C">
            <w:pPr>
              <w:pStyle w:val="TableText"/>
            </w:pPr>
            <w:r w:rsidRPr="00ED0727">
              <w:rPr>
                <w:rFonts w:cstheme="minorHAnsi"/>
              </w:rPr>
              <w:t>38.4</w:t>
            </w:r>
          </w:p>
        </w:tc>
      </w:tr>
      <w:tr w:rsidR="00E948CE" w:rsidRPr="00ED0727" w14:paraId="2829E56A" w14:textId="77777777" w:rsidTr="002D41D6">
        <w:trPr>
          <w:cantSplit/>
          <w:trHeight w:val="283"/>
        </w:trPr>
        <w:tc>
          <w:tcPr>
            <w:tcW w:w="783" w:type="pct"/>
            <w:shd w:val="clear" w:color="auto" w:fill="auto"/>
          </w:tcPr>
          <w:p w14:paraId="1BF3FF76" w14:textId="6D6F7F9C" w:rsidR="00206104" w:rsidRPr="00ED0727" w:rsidRDefault="00206104" w:rsidP="00C00F3C">
            <w:pPr>
              <w:pStyle w:val="TableText"/>
              <w:rPr>
                <w:color w:val="000000"/>
              </w:rPr>
            </w:pPr>
            <w:r w:rsidRPr="00ED0727">
              <w:rPr>
                <w:rFonts w:cstheme="minorHAnsi"/>
              </w:rPr>
              <w:t>Diatom (Bacillariophyta)</w:t>
            </w:r>
          </w:p>
        </w:tc>
        <w:tc>
          <w:tcPr>
            <w:tcW w:w="780" w:type="pct"/>
            <w:shd w:val="clear" w:color="auto" w:fill="auto"/>
          </w:tcPr>
          <w:p w14:paraId="7A9C1FB7" w14:textId="1E295842" w:rsidR="00206104" w:rsidRPr="00ED0727" w:rsidRDefault="00206104" w:rsidP="00C00F3C">
            <w:pPr>
              <w:pStyle w:val="TableText"/>
              <w:rPr>
                <w:i/>
                <w:color w:val="000000"/>
              </w:rPr>
            </w:pPr>
            <w:proofErr w:type="spellStart"/>
            <w:r w:rsidRPr="00ED0727">
              <w:rPr>
                <w:rFonts w:cstheme="minorHAnsi"/>
                <w:i/>
              </w:rPr>
              <w:t>Skeletonema</w:t>
            </w:r>
            <w:proofErr w:type="spellEnd"/>
            <w:r w:rsidRPr="00ED0727">
              <w:rPr>
                <w:rFonts w:cstheme="minorHAnsi"/>
                <w:i/>
              </w:rPr>
              <w:t xml:space="preserve"> </w:t>
            </w:r>
            <w:proofErr w:type="spellStart"/>
            <w:r w:rsidRPr="00ED0727">
              <w:rPr>
                <w:rFonts w:cstheme="minorHAnsi"/>
                <w:i/>
              </w:rPr>
              <w:t>costatum</w:t>
            </w:r>
            <w:proofErr w:type="spellEnd"/>
            <w:r w:rsidR="002D41D6">
              <w:rPr>
                <w:rFonts w:cstheme="minorHAnsi"/>
                <w:i/>
              </w:rPr>
              <w:t> </w:t>
            </w:r>
            <w:r w:rsidRPr="00CB6891">
              <w:rPr>
                <w:rStyle w:val="Strong"/>
                <w:vertAlign w:val="superscript"/>
              </w:rPr>
              <w:t>d</w:t>
            </w:r>
          </w:p>
        </w:tc>
        <w:tc>
          <w:tcPr>
            <w:tcW w:w="625" w:type="pct"/>
            <w:shd w:val="clear" w:color="auto" w:fill="auto"/>
          </w:tcPr>
          <w:p w14:paraId="5279A51E" w14:textId="6B7500F7" w:rsidR="00206104" w:rsidRPr="00ED0727" w:rsidRDefault="00B22419" w:rsidP="00C00F3C">
            <w:pPr>
              <w:pStyle w:val="TableText"/>
            </w:pPr>
            <w:r>
              <w:rPr>
                <w:rFonts w:cstheme="minorHAnsi"/>
              </w:rPr>
              <w:t>–</w:t>
            </w:r>
          </w:p>
        </w:tc>
        <w:tc>
          <w:tcPr>
            <w:tcW w:w="547" w:type="pct"/>
            <w:shd w:val="clear" w:color="auto" w:fill="auto"/>
          </w:tcPr>
          <w:p w14:paraId="1FC050A2" w14:textId="77777777" w:rsidR="00206104" w:rsidRPr="00ED0727" w:rsidRDefault="00206104" w:rsidP="00C00F3C">
            <w:pPr>
              <w:pStyle w:val="TableText"/>
            </w:pPr>
            <w:r w:rsidRPr="00ED0727">
              <w:rPr>
                <w:rFonts w:cstheme="minorHAnsi"/>
              </w:rPr>
              <w:t>5</w:t>
            </w:r>
          </w:p>
        </w:tc>
        <w:tc>
          <w:tcPr>
            <w:tcW w:w="469" w:type="pct"/>
            <w:shd w:val="clear" w:color="auto" w:fill="auto"/>
          </w:tcPr>
          <w:p w14:paraId="2FE21D6F" w14:textId="77777777" w:rsidR="00206104" w:rsidRDefault="00206104" w:rsidP="00C00F3C">
            <w:pPr>
              <w:pStyle w:val="TableText"/>
              <w:rPr>
                <w:rFonts w:cstheme="minorHAnsi"/>
              </w:rPr>
            </w:pPr>
            <w:r>
              <w:rPr>
                <w:rFonts w:cstheme="minorHAnsi"/>
              </w:rPr>
              <w:t>Chronic</w:t>
            </w:r>
          </w:p>
        </w:tc>
        <w:tc>
          <w:tcPr>
            <w:tcW w:w="705" w:type="pct"/>
            <w:shd w:val="clear" w:color="auto" w:fill="auto"/>
          </w:tcPr>
          <w:p w14:paraId="10900936" w14:textId="77777777" w:rsidR="00206104" w:rsidRPr="00ED0727" w:rsidRDefault="00206104" w:rsidP="00C00F3C">
            <w:pPr>
              <w:pStyle w:val="TableText"/>
              <w:rPr>
                <w:rFonts w:cstheme="minorHAnsi"/>
              </w:rPr>
            </w:pPr>
            <w:r w:rsidRPr="00ED0727">
              <w:rPr>
                <w:rFonts w:cstheme="minorHAnsi"/>
              </w:rPr>
              <w:t>NOEL</w:t>
            </w:r>
          </w:p>
          <w:p w14:paraId="00BE26F3" w14:textId="77777777" w:rsidR="00206104" w:rsidRPr="00ED0727" w:rsidRDefault="00206104" w:rsidP="00C00F3C">
            <w:pPr>
              <w:pStyle w:val="TableText"/>
            </w:pPr>
            <w:r w:rsidRPr="00ED0727">
              <w:rPr>
                <w:rFonts w:cstheme="minorHAnsi"/>
              </w:rPr>
              <w:t>(Cell density)</w:t>
            </w:r>
          </w:p>
        </w:tc>
        <w:tc>
          <w:tcPr>
            <w:tcW w:w="546" w:type="pct"/>
            <w:shd w:val="clear" w:color="auto" w:fill="auto"/>
          </w:tcPr>
          <w:p w14:paraId="19E8F2F3" w14:textId="77777777" w:rsidR="00206104" w:rsidRPr="00ED0727" w:rsidRDefault="00206104" w:rsidP="00C00F3C">
            <w:pPr>
              <w:pStyle w:val="TableText"/>
            </w:pPr>
            <w:r w:rsidRPr="00ED0727">
              <w:rPr>
                <w:rFonts w:cstheme="minorHAnsi"/>
              </w:rPr>
              <w:t>250</w:t>
            </w:r>
          </w:p>
        </w:tc>
        <w:tc>
          <w:tcPr>
            <w:tcW w:w="545" w:type="pct"/>
            <w:shd w:val="clear" w:color="auto" w:fill="auto"/>
          </w:tcPr>
          <w:p w14:paraId="18BD1060" w14:textId="77777777" w:rsidR="00206104" w:rsidRPr="00ED0727" w:rsidRDefault="00206104" w:rsidP="00C00F3C">
            <w:pPr>
              <w:pStyle w:val="TableText"/>
            </w:pPr>
            <w:r w:rsidRPr="00ED0727">
              <w:rPr>
                <w:rFonts w:cstheme="minorHAnsi"/>
              </w:rPr>
              <w:t>250</w:t>
            </w:r>
          </w:p>
        </w:tc>
      </w:tr>
      <w:tr w:rsidR="00E948CE" w:rsidRPr="00ED0727" w14:paraId="327031A3" w14:textId="77777777" w:rsidTr="002D41D6">
        <w:trPr>
          <w:cantSplit/>
          <w:trHeight w:val="283"/>
        </w:trPr>
        <w:tc>
          <w:tcPr>
            <w:tcW w:w="783" w:type="pct"/>
            <w:tcBorders>
              <w:bottom w:val="single" w:sz="4" w:space="0" w:color="auto"/>
            </w:tcBorders>
            <w:shd w:val="clear" w:color="auto" w:fill="auto"/>
          </w:tcPr>
          <w:p w14:paraId="6A52EDFB" w14:textId="680ED869" w:rsidR="00206104" w:rsidRPr="00ED0727" w:rsidRDefault="00206104" w:rsidP="00C00F3C">
            <w:pPr>
              <w:pStyle w:val="TableText"/>
              <w:rPr>
                <w:color w:val="000000"/>
              </w:rPr>
            </w:pPr>
            <w:r w:rsidRPr="00ED0727">
              <w:rPr>
                <w:rFonts w:cstheme="minorHAnsi"/>
              </w:rPr>
              <w:t xml:space="preserve">Green </w:t>
            </w:r>
            <w:r w:rsidR="000532AC">
              <w:rPr>
                <w:rFonts w:cstheme="minorHAnsi"/>
              </w:rPr>
              <w:t>micro</w:t>
            </w:r>
            <w:r w:rsidRPr="00ED0727">
              <w:rPr>
                <w:rFonts w:cstheme="minorHAnsi"/>
              </w:rPr>
              <w:t>alga</w:t>
            </w:r>
            <w:r w:rsidRPr="00ED0727">
              <w:rPr>
                <w:rFonts w:cstheme="minorHAnsi"/>
              </w:rPr>
              <w:br/>
              <w:t>(Chlorophyta)</w:t>
            </w:r>
          </w:p>
        </w:tc>
        <w:tc>
          <w:tcPr>
            <w:tcW w:w="780" w:type="pct"/>
            <w:tcBorders>
              <w:bottom w:val="single" w:sz="4" w:space="0" w:color="auto"/>
            </w:tcBorders>
            <w:shd w:val="clear" w:color="auto" w:fill="auto"/>
          </w:tcPr>
          <w:p w14:paraId="0A80AFE8" w14:textId="77777777" w:rsidR="00206104" w:rsidRPr="00ED0727" w:rsidRDefault="00206104" w:rsidP="00C00F3C">
            <w:pPr>
              <w:pStyle w:val="TableText"/>
              <w:rPr>
                <w:i/>
                <w:color w:val="000000"/>
              </w:rPr>
            </w:pPr>
            <w:proofErr w:type="spellStart"/>
            <w:r w:rsidRPr="00ED0727">
              <w:rPr>
                <w:rFonts w:cstheme="minorHAnsi"/>
                <w:i/>
              </w:rPr>
              <w:t>Tetraselmis</w:t>
            </w:r>
            <w:proofErr w:type="spellEnd"/>
            <w:r w:rsidRPr="00ED0727">
              <w:rPr>
                <w:rFonts w:cstheme="minorHAnsi"/>
                <w:i/>
              </w:rPr>
              <w:t xml:space="preserve"> </w:t>
            </w:r>
            <w:r w:rsidRPr="00CD555E">
              <w:rPr>
                <w:rFonts w:cstheme="minorHAnsi"/>
                <w:iCs/>
              </w:rPr>
              <w:t>sp.</w:t>
            </w:r>
          </w:p>
        </w:tc>
        <w:tc>
          <w:tcPr>
            <w:tcW w:w="625" w:type="pct"/>
            <w:tcBorders>
              <w:bottom w:val="single" w:sz="4" w:space="0" w:color="auto"/>
            </w:tcBorders>
            <w:shd w:val="clear" w:color="auto" w:fill="auto"/>
          </w:tcPr>
          <w:p w14:paraId="05E920DD" w14:textId="77777777" w:rsidR="00206104" w:rsidRPr="00ED0727" w:rsidRDefault="00206104" w:rsidP="00C00F3C">
            <w:pPr>
              <w:pStyle w:val="TableText"/>
            </w:pPr>
            <w:r w:rsidRPr="00ED0727">
              <w:rPr>
                <w:rFonts w:cstheme="minorHAnsi"/>
              </w:rPr>
              <w:t>Exponential growth phase</w:t>
            </w:r>
          </w:p>
        </w:tc>
        <w:tc>
          <w:tcPr>
            <w:tcW w:w="547" w:type="pct"/>
            <w:tcBorders>
              <w:bottom w:val="single" w:sz="4" w:space="0" w:color="auto"/>
            </w:tcBorders>
            <w:shd w:val="clear" w:color="auto" w:fill="auto"/>
          </w:tcPr>
          <w:p w14:paraId="5B9E7FFF" w14:textId="77777777" w:rsidR="00206104" w:rsidRPr="00ED0727" w:rsidRDefault="00206104" w:rsidP="00C00F3C">
            <w:pPr>
              <w:pStyle w:val="TableText"/>
            </w:pPr>
            <w:r w:rsidRPr="00ED0727">
              <w:rPr>
                <w:rFonts w:cstheme="minorHAnsi"/>
              </w:rPr>
              <w:t>3</w:t>
            </w:r>
          </w:p>
        </w:tc>
        <w:tc>
          <w:tcPr>
            <w:tcW w:w="469" w:type="pct"/>
            <w:tcBorders>
              <w:bottom w:val="single" w:sz="4" w:space="0" w:color="auto"/>
            </w:tcBorders>
            <w:shd w:val="clear" w:color="auto" w:fill="auto"/>
          </w:tcPr>
          <w:p w14:paraId="6AA13EF0" w14:textId="77777777" w:rsidR="00206104" w:rsidRDefault="00206104" w:rsidP="00C00F3C">
            <w:pPr>
              <w:pStyle w:val="TableText"/>
              <w:rPr>
                <w:rFonts w:cstheme="minorHAnsi"/>
              </w:rPr>
            </w:pPr>
            <w:r>
              <w:rPr>
                <w:rFonts w:cstheme="minorHAnsi"/>
              </w:rPr>
              <w:t>Chronic</w:t>
            </w:r>
          </w:p>
        </w:tc>
        <w:tc>
          <w:tcPr>
            <w:tcW w:w="705" w:type="pct"/>
            <w:tcBorders>
              <w:bottom w:val="single" w:sz="4" w:space="0" w:color="auto"/>
            </w:tcBorders>
            <w:shd w:val="clear" w:color="auto" w:fill="auto"/>
          </w:tcPr>
          <w:p w14:paraId="46F86D35" w14:textId="77777777" w:rsidR="00206104" w:rsidRPr="00ED0727" w:rsidRDefault="00206104" w:rsidP="00C00F3C">
            <w:pPr>
              <w:pStyle w:val="TableText"/>
              <w:rPr>
                <w:rFonts w:cstheme="minorHAnsi"/>
              </w:rPr>
            </w:pPr>
            <w:r w:rsidRPr="00ED0727">
              <w:rPr>
                <w:rFonts w:cstheme="minorHAnsi"/>
              </w:rPr>
              <w:t>NEC/EC10</w:t>
            </w:r>
          </w:p>
          <w:p w14:paraId="438252EF" w14:textId="77777777" w:rsidR="00206104" w:rsidRPr="00ED0727" w:rsidRDefault="00206104" w:rsidP="00C00F3C">
            <w:pPr>
              <w:pStyle w:val="TableText"/>
            </w:pPr>
            <w:r w:rsidRPr="00ED0727">
              <w:rPr>
                <w:rFonts w:cstheme="minorHAnsi"/>
              </w:rPr>
              <w:t>(Growth rate)</w:t>
            </w:r>
          </w:p>
        </w:tc>
        <w:tc>
          <w:tcPr>
            <w:tcW w:w="546" w:type="pct"/>
            <w:tcBorders>
              <w:bottom w:val="single" w:sz="4" w:space="0" w:color="auto"/>
            </w:tcBorders>
            <w:shd w:val="clear" w:color="auto" w:fill="auto"/>
          </w:tcPr>
          <w:p w14:paraId="79B47C01" w14:textId="77777777" w:rsidR="00206104" w:rsidRPr="00ED0727" w:rsidRDefault="00206104" w:rsidP="00C00F3C">
            <w:pPr>
              <w:pStyle w:val="TableText"/>
            </w:pPr>
            <w:r w:rsidRPr="00ED0727">
              <w:rPr>
                <w:rFonts w:cstheme="minorHAnsi"/>
              </w:rPr>
              <w:t>37.5</w:t>
            </w:r>
          </w:p>
        </w:tc>
        <w:tc>
          <w:tcPr>
            <w:tcW w:w="545" w:type="pct"/>
            <w:tcBorders>
              <w:bottom w:val="single" w:sz="4" w:space="0" w:color="auto"/>
            </w:tcBorders>
            <w:shd w:val="clear" w:color="auto" w:fill="auto"/>
          </w:tcPr>
          <w:p w14:paraId="1C0622C2" w14:textId="77777777" w:rsidR="00206104" w:rsidRPr="00ED0727" w:rsidRDefault="00206104" w:rsidP="00C00F3C">
            <w:pPr>
              <w:pStyle w:val="TableText"/>
            </w:pPr>
            <w:r w:rsidRPr="00ED0727">
              <w:rPr>
                <w:rFonts w:cstheme="minorHAnsi"/>
              </w:rPr>
              <w:t>37.5</w:t>
            </w:r>
          </w:p>
        </w:tc>
      </w:tr>
      <w:tr w:rsidR="00E948CE" w:rsidRPr="00ED0727" w14:paraId="032B0F5E" w14:textId="77777777" w:rsidTr="002D41D6">
        <w:trPr>
          <w:cantSplit/>
          <w:trHeight w:val="283"/>
        </w:trPr>
        <w:tc>
          <w:tcPr>
            <w:tcW w:w="783" w:type="pct"/>
            <w:tcBorders>
              <w:bottom w:val="single" w:sz="12" w:space="0" w:color="auto"/>
            </w:tcBorders>
            <w:shd w:val="clear" w:color="auto" w:fill="auto"/>
          </w:tcPr>
          <w:p w14:paraId="152D06CB" w14:textId="36C72DD3" w:rsidR="00206104" w:rsidRPr="00ED0727" w:rsidRDefault="00EE4DF8" w:rsidP="00C00F3C">
            <w:pPr>
              <w:pStyle w:val="TableText"/>
              <w:rPr>
                <w:color w:val="000000"/>
              </w:rPr>
            </w:pPr>
            <w:r>
              <w:rPr>
                <w:rFonts w:cstheme="minorHAnsi"/>
              </w:rPr>
              <w:t>G</w:t>
            </w:r>
            <w:r w:rsidR="00205DE4">
              <w:rPr>
                <w:rFonts w:cstheme="minorHAnsi"/>
              </w:rPr>
              <w:t xml:space="preserve">olden-brown </w:t>
            </w:r>
            <w:r w:rsidR="005D4C82">
              <w:rPr>
                <w:rFonts w:cstheme="minorHAnsi"/>
              </w:rPr>
              <w:t>micro</w:t>
            </w:r>
            <w:r w:rsidR="00206104" w:rsidRPr="00ED0727">
              <w:rPr>
                <w:rFonts w:cstheme="minorHAnsi"/>
              </w:rPr>
              <w:t>alga</w:t>
            </w:r>
            <w:r w:rsidR="00206104" w:rsidRPr="00ED0727">
              <w:rPr>
                <w:rFonts w:cstheme="minorHAnsi"/>
              </w:rPr>
              <w:br/>
              <w:t>(</w:t>
            </w:r>
            <w:proofErr w:type="spellStart"/>
            <w:r w:rsidR="00206104" w:rsidRPr="00ED0727">
              <w:rPr>
                <w:rFonts w:cstheme="minorHAnsi"/>
              </w:rPr>
              <w:t>Haptophyta</w:t>
            </w:r>
            <w:proofErr w:type="spellEnd"/>
            <w:r w:rsidR="00206104" w:rsidRPr="00ED0727">
              <w:rPr>
                <w:rFonts w:cstheme="minorHAnsi"/>
              </w:rPr>
              <w:t>)</w:t>
            </w:r>
          </w:p>
        </w:tc>
        <w:tc>
          <w:tcPr>
            <w:tcW w:w="780" w:type="pct"/>
            <w:tcBorders>
              <w:bottom w:val="single" w:sz="12" w:space="0" w:color="auto"/>
            </w:tcBorders>
            <w:shd w:val="clear" w:color="auto" w:fill="auto"/>
          </w:tcPr>
          <w:p w14:paraId="7B6A65A5" w14:textId="77777777" w:rsidR="00206104" w:rsidRPr="00ED0727" w:rsidRDefault="00206104" w:rsidP="00C00F3C">
            <w:pPr>
              <w:pStyle w:val="TableText"/>
              <w:rPr>
                <w:i/>
                <w:color w:val="000000"/>
              </w:rPr>
            </w:pPr>
            <w:proofErr w:type="spellStart"/>
            <w:r w:rsidRPr="00ED0727">
              <w:rPr>
                <w:rFonts w:cstheme="minorHAnsi"/>
                <w:i/>
              </w:rPr>
              <w:t>Tisochrysis</w:t>
            </w:r>
            <w:proofErr w:type="spellEnd"/>
            <w:r w:rsidRPr="00ED0727">
              <w:rPr>
                <w:rFonts w:cstheme="minorHAnsi"/>
                <w:i/>
              </w:rPr>
              <w:t xml:space="preserve"> lutea</w:t>
            </w:r>
          </w:p>
        </w:tc>
        <w:tc>
          <w:tcPr>
            <w:tcW w:w="625" w:type="pct"/>
            <w:tcBorders>
              <w:bottom w:val="single" w:sz="12" w:space="0" w:color="auto"/>
            </w:tcBorders>
            <w:shd w:val="clear" w:color="auto" w:fill="auto"/>
          </w:tcPr>
          <w:p w14:paraId="3BCA6B38" w14:textId="77777777" w:rsidR="00206104" w:rsidRPr="00ED0727" w:rsidRDefault="00206104" w:rsidP="00C00F3C">
            <w:pPr>
              <w:pStyle w:val="TableText"/>
            </w:pPr>
            <w:r w:rsidRPr="00ED0727">
              <w:rPr>
                <w:rFonts w:cstheme="minorHAnsi"/>
              </w:rPr>
              <w:t>Exponential growth phase</w:t>
            </w:r>
          </w:p>
        </w:tc>
        <w:tc>
          <w:tcPr>
            <w:tcW w:w="547" w:type="pct"/>
            <w:tcBorders>
              <w:bottom w:val="single" w:sz="12" w:space="0" w:color="auto"/>
            </w:tcBorders>
            <w:shd w:val="clear" w:color="auto" w:fill="auto"/>
          </w:tcPr>
          <w:p w14:paraId="5F801BFB" w14:textId="77777777" w:rsidR="00206104" w:rsidRPr="00ED0727" w:rsidRDefault="00206104" w:rsidP="00C00F3C">
            <w:pPr>
              <w:pStyle w:val="TableText"/>
            </w:pPr>
            <w:r w:rsidRPr="00ED0727">
              <w:rPr>
                <w:rFonts w:cstheme="minorHAnsi"/>
              </w:rPr>
              <w:t>3</w:t>
            </w:r>
          </w:p>
        </w:tc>
        <w:tc>
          <w:tcPr>
            <w:tcW w:w="469" w:type="pct"/>
            <w:tcBorders>
              <w:bottom w:val="single" w:sz="12" w:space="0" w:color="auto"/>
            </w:tcBorders>
            <w:shd w:val="clear" w:color="auto" w:fill="auto"/>
          </w:tcPr>
          <w:p w14:paraId="50BE67D1" w14:textId="77777777" w:rsidR="00206104" w:rsidRDefault="00206104" w:rsidP="00C00F3C">
            <w:pPr>
              <w:pStyle w:val="TableText"/>
              <w:rPr>
                <w:rFonts w:cstheme="minorHAnsi"/>
              </w:rPr>
            </w:pPr>
            <w:r>
              <w:rPr>
                <w:rFonts w:cstheme="minorHAnsi"/>
              </w:rPr>
              <w:t>Chronic</w:t>
            </w:r>
          </w:p>
        </w:tc>
        <w:tc>
          <w:tcPr>
            <w:tcW w:w="705" w:type="pct"/>
            <w:tcBorders>
              <w:bottom w:val="single" w:sz="12" w:space="0" w:color="auto"/>
            </w:tcBorders>
            <w:shd w:val="clear" w:color="auto" w:fill="auto"/>
          </w:tcPr>
          <w:p w14:paraId="33A18B87" w14:textId="77777777" w:rsidR="00206104" w:rsidRPr="00ED0727" w:rsidRDefault="00206104" w:rsidP="00C00F3C">
            <w:pPr>
              <w:pStyle w:val="TableText"/>
              <w:rPr>
                <w:rFonts w:cstheme="minorHAnsi"/>
              </w:rPr>
            </w:pPr>
            <w:r w:rsidRPr="00ED0727">
              <w:rPr>
                <w:rFonts w:cstheme="minorHAnsi"/>
              </w:rPr>
              <w:t>EC10</w:t>
            </w:r>
          </w:p>
          <w:p w14:paraId="57728246" w14:textId="77777777" w:rsidR="00206104" w:rsidRPr="00ED0727" w:rsidRDefault="00206104" w:rsidP="00C00F3C">
            <w:pPr>
              <w:pStyle w:val="TableText"/>
            </w:pPr>
            <w:r w:rsidRPr="00ED0727">
              <w:rPr>
                <w:rFonts w:cstheme="minorHAnsi"/>
              </w:rPr>
              <w:t>(Growth rate)</w:t>
            </w:r>
          </w:p>
        </w:tc>
        <w:tc>
          <w:tcPr>
            <w:tcW w:w="546" w:type="pct"/>
            <w:tcBorders>
              <w:bottom w:val="single" w:sz="12" w:space="0" w:color="auto"/>
            </w:tcBorders>
            <w:shd w:val="clear" w:color="auto" w:fill="auto"/>
          </w:tcPr>
          <w:p w14:paraId="5EFC952A" w14:textId="77777777" w:rsidR="00206104" w:rsidRPr="00ED0727" w:rsidRDefault="00206104" w:rsidP="00C00F3C">
            <w:pPr>
              <w:pStyle w:val="TableText"/>
            </w:pPr>
            <w:r w:rsidRPr="00ED0727">
              <w:rPr>
                <w:rFonts w:cstheme="minorHAnsi"/>
              </w:rPr>
              <w:t>60.2</w:t>
            </w:r>
          </w:p>
        </w:tc>
        <w:tc>
          <w:tcPr>
            <w:tcW w:w="545" w:type="pct"/>
            <w:tcBorders>
              <w:bottom w:val="single" w:sz="12" w:space="0" w:color="auto"/>
            </w:tcBorders>
            <w:shd w:val="clear" w:color="auto" w:fill="auto"/>
          </w:tcPr>
          <w:p w14:paraId="1AF34F04" w14:textId="77777777" w:rsidR="00206104" w:rsidRPr="00ED0727" w:rsidRDefault="00206104" w:rsidP="00C00F3C">
            <w:pPr>
              <w:pStyle w:val="TableText"/>
            </w:pPr>
            <w:r w:rsidRPr="00ED0727">
              <w:rPr>
                <w:rFonts w:cstheme="minorHAnsi"/>
              </w:rPr>
              <w:t>60.2</w:t>
            </w:r>
          </w:p>
        </w:tc>
      </w:tr>
    </w:tbl>
    <w:p w14:paraId="36F595F4" w14:textId="0A968051" w:rsidR="00206104" w:rsidRDefault="00206104" w:rsidP="00C00F3C">
      <w:pPr>
        <w:pStyle w:val="FigureTableNoteSource"/>
      </w:pPr>
      <w:r w:rsidRPr="00EA51C7">
        <w:rPr>
          <w:rStyle w:val="Strong"/>
        </w:rPr>
        <w:t>a</w:t>
      </w:r>
      <w:r>
        <w:t xml:space="preserve"> The measure of toxicity that is being estimated/determined</w:t>
      </w:r>
      <w:r w:rsidR="00611907">
        <w:t>.</w:t>
      </w:r>
      <w:r>
        <w:t xml:space="preserve"> NOEL: </w:t>
      </w:r>
      <w:r w:rsidR="00611907">
        <w:t xml:space="preserve">no </w:t>
      </w:r>
      <w:r>
        <w:t xml:space="preserve">observed effect level; NEC: no effect </w:t>
      </w:r>
      <w:r w:rsidR="00621A2F">
        <w:t>concentration</w:t>
      </w:r>
      <w:r>
        <w:t>; EC10: 10% effect concentration; IC10: inhibition concentration.</w:t>
      </w:r>
    </w:p>
    <w:p w14:paraId="0686905B" w14:textId="19EE0D93" w:rsidR="00206104" w:rsidRDefault="00EA51C7" w:rsidP="00C00F3C">
      <w:pPr>
        <w:pStyle w:val="FigureTableNoteSource"/>
      </w:pPr>
      <w:r w:rsidRPr="00EA51C7">
        <w:rPr>
          <w:rStyle w:val="Strong"/>
        </w:rPr>
        <w:t>b</w:t>
      </w:r>
      <w:r w:rsidR="00206104">
        <w:t xml:space="preserve"> Chronic EC50 values converted to chronic EC10</w:t>
      </w:r>
      <w:r w:rsidR="00585AE0">
        <w:t>/NOEC</w:t>
      </w:r>
      <w:r w:rsidR="00206104">
        <w:t xml:space="preserve"> values by dividing by 5 (Warne et al. 20</w:t>
      </w:r>
      <w:r w:rsidR="009642B8">
        <w:t>18</w:t>
      </w:r>
      <w:r w:rsidR="00206104">
        <w:t>).</w:t>
      </w:r>
    </w:p>
    <w:p w14:paraId="735C96F2" w14:textId="539B3819" w:rsidR="00206104" w:rsidRDefault="00EA51C7" w:rsidP="00C00F3C">
      <w:pPr>
        <w:pStyle w:val="FigureTableNoteSource"/>
      </w:pPr>
      <w:r w:rsidRPr="00EA51C7">
        <w:rPr>
          <w:rStyle w:val="Strong"/>
        </w:rPr>
        <w:t>c</w:t>
      </w:r>
      <w:r w:rsidR="00206104">
        <w:t xml:space="preserve"> Acute LC50 values that were converted to chronic EC10/NOE</w:t>
      </w:r>
      <w:r w:rsidR="001E62D7">
        <w:t>L</w:t>
      </w:r>
      <w:r w:rsidR="00206104">
        <w:t xml:space="preserve"> values by dividing by 10 (Warne et al. 20</w:t>
      </w:r>
      <w:r w:rsidR="009642B8">
        <w:t>18</w:t>
      </w:r>
      <w:r w:rsidR="00206104">
        <w:t>).</w:t>
      </w:r>
    </w:p>
    <w:p w14:paraId="315C7E08" w14:textId="62C5D58A" w:rsidR="00206104" w:rsidRDefault="00EA51C7" w:rsidP="00C00F3C">
      <w:pPr>
        <w:pStyle w:val="FigureTableNoteSource"/>
        <w:rPr>
          <w:highlight w:val="cyan"/>
        </w:rPr>
      </w:pPr>
      <w:r w:rsidRPr="00EA51C7">
        <w:rPr>
          <w:rStyle w:val="Strong"/>
        </w:rPr>
        <w:t>d</w:t>
      </w:r>
      <w:r w:rsidR="00206104">
        <w:t xml:space="preserve"> Species that originated from or </w:t>
      </w:r>
      <w:r w:rsidR="00611907">
        <w:t xml:space="preserve">are distributed in </w:t>
      </w:r>
      <w:r w:rsidR="00206104">
        <w:t>Australia and/or New Zealand.</w:t>
      </w:r>
    </w:p>
    <w:p w14:paraId="5CA2763A" w14:textId="05AABD8F" w:rsidR="00BB3087" w:rsidRDefault="00206104" w:rsidP="000E52A2">
      <w:pPr>
        <w:rPr>
          <w:highlight w:val="cyan"/>
        </w:rPr>
      </w:pPr>
      <w:r w:rsidRPr="00206104">
        <w:t xml:space="preserve">To identify species that were regionally relevant to Australia and New Zealand ecosystems, </w:t>
      </w:r>
      <w:r w:rsidR="005A5E26">
        <w:t xml:space="preserve">the following databases were searched: </w:t>
      </w:r>
      <w:proofErr w:type="spellStart"/>
      <w:r w:rsidRPr="00206104">
        <w:t>Algae</w:t>
      </w:r>
      <w:r w:rsidR="005A5E26">
        <w:t>B</w:t>
      </w:r>
      <w:r w:rsidRPr="00206104">
        <w:t>ase</w:t>
      </w:r>
      <w:proofErr w:type="spellEnd"/>
      <w:r w:rsidRPr="00206104">
        <w:t xml:space="preserve"> (Guiry and Guiry 2017)</w:t>
      </w:r>
      <w:r w:rsidR="005A5E26">
        <w:t>;</w:t>
      </w:r>
      <w:r w:rsidRPr="00206104">
        <w:t xml:space="preserve"> Atlas of Living Australia (ALA 2017)</w:t>
      </w:r>
      <w:r w:rsidR="005A5E26">
        <w:t>;</w:t>
      </w:r>
      <w:r w:rsidRPr="00206104">
        <w:t xml:space="preserve"> Catalogue of Life (Roskov et al. 2017)</w:t>
      </w:r>
      <w:r w:rsidR="005A5E26">
        <w:t>;</w:t>
      </w:r>
      <w:r w:rsidRPr="00206104">
        <w:t xml:space="preserve"> Integrated Taxonomic Information System (ITIS 2017)</w:t>
      </w:r>
      <w:r w:rsidR="005A5E26">
        <w:t>;</w:t>
      </w:r>
      <w:r w:rsidRPr="00206104">
        <w:t xml:space="preserve"> and World Register of Marine Species (</w:t>
      </w:r>
      <w:proofErr w:type="spellStart"/>
      <w:r w:rsidRPr="00206104">
        <w:t>WoRMS</w:t>
      </w:r>
      <w:proofErr w:type="spellEnd"/>
      <w:r w:rsidRPr="00206104">
        <w:t xml:space="preserve"> 2017). The dataset used in the </w:t>
      </w:r>
      <w:r w:rsidR="00BB3087">
        <w:t>DGV</w:t>
      </w:r>
      <w:r w:rsidRPr="00206104">
        <w:t xml:space="preserve"> derivation for simazine in marine water (</w:t>
      </w:r>
      <w:r w:rsidR="00A63B6B">
        <w:fldChar w:fldCharType="begin"/>
      </w:r>
      <w:r w:rsidR="00A63B6B">
        <w:instrText xml:space="preserve"> REF _Ref185509904 \h </w:instrText>
      </w:r>
      <w:r w:rsidR="00A63B6B">
        <w:fldChar w:fldCharType="separate"/>
      </w:r>
      <w:r w:rsidR="00E74306">
        <w:t>Table </w:t>
      </w:r>
      <w:r w:rsidR="00E74306">
        <w:rPr>
          <w:noProof/>
        </w:rPr>
        <w:t>2</w:t>
      </w:r>
      <w:r w:rsidR="00A63B6B">
        <w:fldChar w:fldCharType="end"/>
      </w:r>
      <w:r w:rsidRPr="00206104">
        <w:t xml:space="preserve">) includes toxicity data for three marine species that either originated from or are distributed within Australia and/or New Zealand. There were some additional studies that contained </w:t>
      </w:r>
      <w:r w:rsidR="00BB3087">
        <w:t xml:space="preserve">simazine </w:t>
      </w:r>
      <w:r w:rsidRPr="00206104">
        <w:t>toxicity data for Australasian marine species; however, they measured photosynthetic inhibition, which is not accepted as an ecologically relevant endpoint (Warne et al. 2018), and</w:t>
      </w:r>
      <w:r w:rsidR="00BB3087">
        <w:t xml:space="preserve"> they</w:t>
      </w:r>
      <w:r w:rsidRPr="00206104">
        <w:t xml:space="preserve"> were not included in the DGV derivation</w:t>
      </w:r>
      <w:r w:rsidR="00BB3087">
        <w:t>.</w:t>
      </w:r>
    </w:p>
    <w:p w14:paraId="3DB2825C" w14:textId="105DFB4E" w:rsidR="001303C0" w:rsidRPr="004805FA" w:rsidRDefault="001303C0" w:rsidP="002D1406">
      <w:pPr>
        <w:pStyle w:val="Heading3"/>
      </w:pPr>
      <w:bookmarkStart w:id="22" w:name="_Toc189412380"/>
      <w:r w:rsidRPr="004805FA">
        <w:lastRenderedPageBreak/>
        <w:t>Species sensitivity distribution</w:t>
      </w:r>
      <w:bookmarkEnd w:id="22"/>
    </w:p>
    <w:p w14:paraId="5A7A53C1" w14:textId="1FE89551" w:rsidR="00206104" w:rsidRDefault="004805FA" w:rsidP="008A5762">
      <w:pPr>
        <w:rPr>
          <w:bCs/>
          <w:highlight w:val="cyan"/>
        </w:rPr>
      </w:pPr>
      <w:r w:rsidRPr="004805FA">
        <w:rPr>
          <w:bCs/>
        </w:rPr>
        <w:t>The cumulative frequency (species sensitivity) distribution (SSD) of the 1</w:t>
      </w:r>
      <w:r w:rsidR="006228F8">
        <w:rPr>
          <w:bCs/>
        </w:rPr>
        <w:t>4</w:t>
      </w:r>
      <w:r w:rsidRPr="004805FA">
        <w:rPr>
          <w:bCs/>
        </w:rPr>
        <w:t xml:space="preserve"> </w:t>
      </w:r>
      <w:r w:rsidR="00315BC1">
        <w:rPr>
          <w:bCs/>
        </w:rPr>
        <w:t>toxicity values</w:t>
      </w:r>
      <w:r w:rsidRPr="004805FA">
        <w:rPr>
          <w:bCs/>
        </w:rPr>
        <w:t xml:space="preserve"> that </w:t>
      </w:r>
      <w:r w:rsidR="00315BC1">
        <w:rPr>
          <w:bCs/>
        </w:rPr>
        <w:t>were</w:t>
      </w:r>
      <w:r w:rsidRPr="004805FA">
        <w:rPr>
          <w:bCs/>
        </w:rPr>
        <w:t xml:space="preserve"> used to derive the DGVs is presented in </w:t>
      </w:r>
      <w:r w:rsidR="00367621">
        <w:rPr>
          <w:bCs/>
        </w:rPr>
        <w:fldChar w:fldCharType="begin"/>
      </w:r>
      <w:r w:rsidR="00367621">
        <w:rPr>
          <w:bCs/>
        </w:rPr>
        <w:instrText xml:space="preserve"> REF _Ref185510093 \h </w:instrText>
      </w:r>
      <w:r w:rsidR="00367621">
        <w:rPr>
          <w:bCs/>
        </w:rPr>
      </w:r>
      <w:r w:rsidR="00367621">
        <w:rPr>
          <w:bCs/>
        </w:rPr>
        <w:fldChar w:fldCharType="separate"/>
      </w:r>
      <w:r w:rsidR="00E74306">
        <w:t>Figure </w:t>
      </w:r>
      <w:r w:rsidR="00E74306">
        <w:rPr>
          <w:noProof/>
        </w:rPr>
        <w:t>2</w:t>
      </w:r>
      <w:r w:rsidR="00367621">
        <w:rPr>
          <w:bCs/>
        </w:rPr>
        <w:fldChar w:fldCharType="end"/>
      </w:r>
      <w:r w:rsidRPr="004805FA">
        <w:rPr>
          <w:bCs/>
        </w:rPr>
        <w:t>. The SSD was plotted using the Burrlioz 2.0 software. The model provide</w:t>
      </w:r>
      <w:r w:rsidR="00315BC1">
        <w:rPr>
          <w:bCs/>
        </w:rPr>
        <w:t>d</w:t>
      </w:r>
      <w:r w:rsidRPr="004805FA">
        <w:rPr>
          <w:bCs/>
        </w:rPr>
        <w:t xml:space="preserve"> a good fit to the data (</w:t>
      </w:r>
      <w:r w:rsidR="00367621">
        <w:rPr>
          <w:bCs/>
        </w:rPr>
        <w:fldChar w:fldCharType="begin"/>
      </w:r>
      <w:r w:rsidR="00367621">
        <w:rPr>
          <w:bCs/>
        </w:rPr>
        <w:instrText xml:space="preserve"> REF _Ref185510093 \h </w:instrText>
      </w:r>
      <w:r w:rsidR="00367621">
        <w:rPr>
          <w:bCs/>
        </w:rPr>
      </w:r>
      <w:r w:rsidR="00367621">
        <w:rPr>
          <w:bCs/>
        </w:rPr>
        <w:fldChar w:fldCharType="separate"/>
      </w:r>
      <w:r w:rsidR="00E74306">
        <w:t>Figure </w:t>
      </w:r>
      <w:r w:rsidR="00E74306">
        <w:rPr>
          <w:noProof/>
        </w:rPr>
        <w:t>2</w:t>
      </w:r>
      <w:r w:rsidR="00367621">
        <w:rPr>
          <w:bCs/>
        </w:rPr>
        <w:fldChar w:fldCharType="end"/>
      </w:r>
      <w:r w:rsidRPr="004805FA">
        <w:rPr>
          <w:bCs/>
        </w:rPr>
        <w:t>).</w:t>
      </w:r>
    </w:p>
    <w:p w14:paraId="14CCA83D" w14:textId="4E2F8809" w:rsidR="00315FBC" w:rsidRPr="00315FBC" w:rsidRDefault="000734F1" w:rsidP="0088184A">
      <w:pPr>
        <w:pStyle w:val="TableText"/>
      </w:pPr>
      <w:r w:rsidRPr="000734F1">
        <w:rPr>
          <w:noProof/>
        </w:rPr>
        <w:drawing>
          <wp:inline distT="0" distB="0" distL="0" distR="0" wp14:anchorId="1082A4DA" wp14:editId="5C4BD5A2">
            <wp:extent cx="4429125" cy="3971440"/>
            <wp:effectExtent l="0" t="0" r="6350" b="0"/>
            <wp:docPr id="1124894943" name="Picture 1" descr="Figure is a species sensitivity distribution (SSD) that shows 14 species that are affected by concentrations of simazine (microgram per litre). The species from Table 2 are plott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94943" name="Picture 1" descr="Figure is a species sensitivity distribution (SSD) that shows 14 species that are affected by concentrations of simazine (microgram per litre). The species from Table 2 are plotted here."/>
                    <pic:cNvPicPr/>
                  </pic:nvPicPr>
                  <pic:blipFill rotWithShape="1">
                    <a:blip r:embed="rId30"/>
                    <a:srcRect t="4735" r="3151" b="1217"/>
                    <a:stretch/>
                  </pic:blipFill>
                  <pic:spPr bwMode="auto">
                    <a:xfrm>
                      <a:off x="0" y="0"/>
                      <a:ext cx="4429125" cy="3971440"/>
                    </a:xfrm>
                    <a:prstGeom prst="rect">
                      <a:avLst/>
                    </a:prstGeom>
                    <a:ln>
                      <a:noFill/>
                    </a:ln>
                    <a:extLst>
                      <a:ext uri="{53640926-AAD7-44D8-BBD7-CCE9431645EC}">
                        <a14:shadowObscured xmlns:a14="http://schemas.microsoft.com/office/drawing/2010/main"/>
                      </a:ext>
                    </a:extLst>
                  </pic:spPr>
                </pic:pic>
              </a:graphicData>
            </a:graphic>
          </wp:inline>
        </w:drawing>
      </w:r>
    </w:p>
    <w:p w14:paraId="4945C7DC" w14:textId="1DE33E23" w:rsidR="008F0454" w:rsidRPr="00811E15" w:rsidRDefault="00712AB3" w:rsidP="00712AB3">
      <w:pPr>
        <w:pStyle w:val="Caption"/>
      </w:pPr>
      <w:bookmarkStart w:id="23" w:name="_Ref185510093"/>
      <w:bookmarkStart w:id="24" w:name="_Toc189412389"/>
      <w:r>
        <w:t>Figure </w:t>
      </w:r>
      <w:r w:rsidR="00D7456C">
        <w:fldChar w:fldCharType="begin"/>
      </w:r>
      <w:r w:rsidR="00D7456C">
        <w:instrText xml:space="preserve"> SEQ Figure \* ARABIC </w:instrText>
      </w:r>
      <w:r w:rsidR="00D7456C">
        <w:fldChar w:fldCharType="separate"/>
      </w:r>
      <w:r w:rsidR="00E74306">
        <w:rPr>
          <w:noProof/>
        </w:rPr>
        <w:t>2</w:t>
      </w:r>
      <w:r w:rsidR="00D7456C">
        <w:rPr>
          <w:noProof/>
        </w:rPr>
        <w:fldChar w:fldCharType="end"/>
      </w:r>
      <w:bookmarkEnd w:id="23"/>
      <w:r w:rsidR="004805FA" w:rsidRPr="004805FA">
        <w:t xml:space="preserve"> Species sensitivity distribution, simazine in marine water</w:t>
      </w:r>
      <w:bookmarkEnd w:id="24"/>
    </w:p>
    <w:p w14:paraId="25FE3B73" w14:textId="3BCED36E" w:rsidR="007B3976" w:rsidRPr="00811E15" w:rsidRDefault="007B3976" w:rsidP="008A5762">
      <w:pPr>
        <w:pStyle w:val="Heading3"/>
      </w:pPr>
      <w:bookmarkStart w:id="25" w:name="_Ref138343639"/>
      <w:bookmarkStart w:id="26" w:name="_Toc189412381"/>
      <w:r w:rsidRPr="00811E15">
        <w:t>Default guideline values</w:t>
      </w:r>
      <w:bookmarkEnd w:id="25"/>
      <w:bookmarkEnd w:id="26"/>
    </w:p>
    <w:p w14:paraId="290E3FEC" w14:textId="1D275760" w:rsidR="00ED51E2" w:rsidRDefault="00ED51E2" w:rsidP="00811E15">
      <w:pPr>
        <w:rPr>
          <w:bCs/>
        </w:rPr>
      </w:pPr>
      <w:r w:rsidRPr="00ED51E2">
        <w:rPr>
          <w:bCs/>
        </w:rPr>
        <w:t>It is important that the DGVs (</w:t>
      </w:r>
      <w:r w:rsidR="0006713C">
        <w:rPr>
          <w:bCs/>
        </w:rPr>
        <w:fldChar w:fldCharType="begin"/>
      </w:r>
      <w:r w:rsidR="0006713C">
        <w:rPr>
          <w:bCs/>
        </w:rPr>
        <w:instrText xml:space="preserve"> REF _Ref185509961 \h </w:instrText>
      </w:r>
      <w:r w:rsidR="0006713C">
        <w:rPr>
          <w:bCs/>
        </w:rPr>
      </w:r>
      <w:r w:rsidR="0006713C">
        <w:rPr>
          <w:bCs/>
        </w:rPr>
        <w:fldChar w:fldCharType="separate"/>
      </w:r>
      <w:r w:rsidR="00E74306">
        <w:t>Table </w:t>
      </w:r>
      <w:r w:rsidR="00E74306">
        <w:rPr>
          <w:noProof/>
        </w:rPr>
        <w:t>3</w:t>
      </w:r>
      <w:r w:rsidR="0006713C">
        <w:rPr>
          <w:bCs/>
        </w:rPr>
        <w:fldChar w:fldCharType="end"/>
      </w:r>
      <w:r w:rsidRPr="00ED51E2">
        <w:rPr>
          <w:bCs/>
        </w:rPr>
        <w:t xml:space="preserve">) and associated information in this technical brief are used in accordance with the detailed guidance provided in the Australian and New Zealand Guidelines for Fresh and Marine Water Quality website (ANZG 2018). </w:t>
      </w:r>
    </w:p>
    <w:p w14:paraId="01E7D7C9" w14:textId="58648CDE" w:rsidR="00811E15" w:rsidRPr="00811E15" w:rsidRDefault="00ED51E2" w:rsidP="00811E15">
      <w:pPr>
        <w:rPr>
          <w:bCs/>
        </w:rPr>
      </w:pPr>
      <w:r>
        <w:rPr>
          <w:bCs/>
        </w:rPr>
        <w:t>T</w:t>
      </w:r>
      <w:r w:rsidR="00811E15" w:rsidRPr="00811E15">
        <w:rPr>
          <w:bCs/>
        </w:rPr>
        <w:t xml:space="preserve">he DGVs for simazine </w:t>
      </w:r>
      <w:r>
        <w:rPr>
          <w:bCs/>
        </w:rPr>
        <w:t xml:space="preserve">apply to </w:t>
      </w:r>
      <w:r w:rsidR="00811E15" w:rsidRPr="00811E15">
        <w:rPr>
          <w:bCs/>
        </w:rPr>
        <w:t>the concentration of the active ingredient. Although some of the toxicity data used to derive the DGVs may have incorporated toxicity due to simazine metabolites, this has not been quantified</w:t>
      </w:r>
      <w:r w:rsidR="00EC4A56">
        <w:rPr>
          <w:bCs/>
        </w:rPr>
        <w:t>;</w:t>
      </w:r>
      <w:r w:rsidR="00811E15" w:rsidRPr="00811E15">
        <w:rPr>
          <w:bCs/>
        </w:rPr>
        <w:t xml:space="preserve"> therefore, </w:t>
      </w:r>
      <w:r w:rsidR="003416E6">
        <w:rPr>
          <w:bCs/>
        </w:rPr>
        <w:t xml:space="preserve">the DGVs relate to </w:t>
      </w:r>
      <w:r w:rsidR="00811E15" w:rsidRPr="00811E15">
        <w:rPr>
          <w:bCs/>
        </w:rPr>
        <w:t xml:space="preserve">simazine </w:t>
      </w:r>
      <w:r w:rsidR="003416E6">
        <w:rPr>
          <w:bCs/>
        </w:rPr>
        <w:t>only</w:t>
      </w:r>
      <w:r w:rsidR="0015438B">
        <w:rPr>
          <w:bCs/>
        </w:rPr>
        <w:t>—</w:t>
      </w:r>
      <w:r w:rsidR="00811E15" w:rsidRPr="00811E15">
        <w:rPr>
          <w:bCs/>
        </w:rPr>
        <w:t>not its metabolites</w:t>
      </w:r>
      <w:r w:rsidR="003416E6">
        <w:rPr>
          <w:bCs/>
        </w:rPr>
        <w:t>.</w:t>
      </w:r>
    </w:p>
    <w:p w14:paraId="5EFF6C0B" w14:textId="05964069" w:rsidR="00811E15" w:rsidRDefault="00811E15" w:rsidP="00811E15">
      <w:pPr>
        <w:rPr>
          <w:bCs/>
        </w:rPr>
      </w:pPr>
      <w:r w:rsidRPr="00811E15">
        <w:rPr>
          <w:bCs/>
        </w:rPr>
        <w:t>Measured log BCF values for simazine are low (</w:t>
      </w:r>
      <w:r w:rsidR="0006713C">
        <w:rPr>
          <w:bCs/>
        </w:rPr>
        <w:fldChar w:fldCharType="begin"/>
      </w:r>
      <w:r w:rsidR="0006713C">
        <w:rPr>
          <w:bCs/>
        </w:rPr>
        <w:instrText xml:space="preserve"> REF _Ref185509866 \h </w:instrText>
      </w:r>
      <w:r w:rsidR="0006713C">
        <w:rPr>
          <w:bCs/>
        </w:rPr>
      </w:r>
      <w:r w:rsidR="0006713C">
        <w:rPr>
          <w:bCs/>
        </w:rPr>
        <w:fldChar w:fldCharType="separate"/>
      </w:r>
      <w:r w:rsidR="00E74306">
        <w:t>Table </w:t>
      </w:r>
      <w:r w:rsidR="00E74306">
        <w:rPr>
          <w:noProof/>
        </w:rPr>
        <w:t>1</w:t>
      </w:r>
      <w:r w:rsidR="0006713C">
        <w:rPr>
          <w:bCs/>
        </w:rPr>
        <w:fldChar w:fldCharType="end"/>
      </w:r>
      <w:r w:rsidRPr="00811E15">
        <w:rPr>
          <w:bCs/>
        </w:rPr>
        <w:t>) and below the threshold at which secondary poisoning must be considered</w:t>
      </w:r>
      <w:r w:rsidR="00CA21D9">
        <w:rPr>
          <w:bCs/>
        </w:rPr>
        <w:t xml:space="preserve"> </w:t>
      </w:r>
      <w:r w:rsidR="00CA21D9" w:rsidRPr="00811E15">
        <w:rPr>
          <w:bCs/>
        </w:rPr>
        <w:t>(i.e. log BCF</w:t>
      </w:r>
      <w:r w:rsidR="00CA21D9">
        <w:rPr>
          <w:bCs/>
        </w:rPr>
        <w:t> </w:t>
      </w:r>
      <w:r w:rsidR="00CA21D9" w:rsidRPr="00811E15">
        <w:rPr>
          <w:bCs/>
        </w:rPr>
        <w:t>=</w:t>
      </w:r>
      <w:r w:rsidR="00CA21D9">
        <w:rPr>
          <w:bCs/>
        </w:rPr>
        <w:t> </w:t>
      </w:r>
      <w:r w:rsidR="00CA21D9" w:rsidRPr="00811E15">
        <w:rPr>
          <w:bCs/>
        </w:rPr>
        <w:t xml:space="preserve">4 </w:t>
      </w:r>
      <w:r w:rsidR="00CA21D9">
        <w:rPr>
          <w:bCs/>
        </w:rPr>
        <w:t>(</w:t>
      </w:r>
      <w:r w:rsidR="00CA21D9" w:rsidRPr="00811E15">
        <w:rPr>
          <w:bCs/>
        </w:rPr>
        <w:t>Warne et al. 2018</w:t>
      </w:r>
      <w:r w:rsidR="00CA21D9">
        <w:rPr>
          <w:bCs/>
        </w:rPr>
        <w:t>)</w:t>
      </w:r>
      <w:r w:rsidR="00CA21D9" w:rsidRPr="00811E15">
        <w:rPr>
          <w:bCs/>
        </w:rPr>
        <w:t>)</w:t>
      </w:r>
      <w:r w:rsidRPr="00811E15">
        <w:rPr>
          <w:bCs/>
        </w:rPr>
        <w:t>. Therefore, the DGVs for simazine do not account for secondary poisoning.</w:t>
      </w:r>
    </w:p>
    <w:p w14:paraId="42DAC273" w14:textId="62B1EDF0" w:rsidR="000D7441" w:rsidRDefault="00ED51E2" w:rsidP="00811E15">
      <w:pPr>
        <w:rPr>
          <w:bCs/>
          <w:highlight w:val="cyan"/>
        </w:rPr>
      </w:pPr>
      <w:r w:rsidRPr="00811E15">
        <w:rPr>
          <w:bCs/>
        </w:rPr>
        <w:t xml:space="preserve">The DGVs for simazine in marine water are provided in </w:t>
      </w:r>
      <w:r w:rsidR="0006713C">
        <w:rPr>
          <w:bCs/>
        </w:rPr>
        <w:fldChar w:fldCharType="begin"/>
      </w:r>
      <w:r w:rsidR="0006713C">
        <w:rPr>
          <w:bCs/>
        </w:rPr>
        <w:instrText xml:space="preserve"> REF _Ref185509961 \h </w:instrText>
      </w:r>
      <w:r w:rsidR="0006713C">
        <w:rPr>
          <w:bCs/>
        </w:rPr>
      </w:r>
      <w:r w:rsidR="0006713C">
        <w:rPr>
          <w:bCs/>
        </w:rPr>
        <w:fldChar w:fldCharType="separate"/>
      </w:r>
      <w:r w:rsidR="00E74306">
        <w:t>Table </w:t>
      </w:r>
      <w:r w:rsidR="00E74306">
        <w:rPr>
          <w:noProof/>
        </w:rPr>
        <w:t>3</w:t>
      </w:r>
      <w:r w:rsidR="0006713C">
        <w:rPr>
          <w:bCs/>
        </w:rPr>
        <w:fldChar w:fldCharType="end"/>
      </w:r>
      <w:r w:rsidRPr="00811E15">
        <w:rPr>
          <w:bCs/>
        </w:rPr>
        <w:t>. The 95% species protection DGV of 3</w:t>
      </w:r>
      <w:r w:rsidR="009F51CA">
        <w:rPr>
          <w:bCs/>
        </w:rPr>
        <w:t>0</w:t>
      </w:r>
      <w:r w:rsidR="00CA21D9">
        <w:rPr>
          <w:bCs/>
        </w:rPr>
        <w:t> </w:t>
      </w:r>
      <w:r w:rsidRPr="00811E15">
        <w:rPr>
          <w:bCs/>
        </w:rPr>
        <w:t xml:space="preserve">µg/L is recommended for application </w:t>
      </w:r>
      <w:r w:rsidR="00CA21D9">
        <w:rPr>
          <w:bCs/>
        </w:rPr>
        <w:t>to</w:t>
      </w:r>
      <w:r w:rsidRPr="00811E15">
        <w:rPr>
          <w:bCs/>
        </w:rPr>
        <w:t xml:space="preserve"> slightly</w:t>
      </w:r>
      <w:r w:rsidR="00CA21D9">
        <w:rPr>
          <w:bCs/>
        </w:rPr>
        <w:t>-</w:t>
      </w:r>
      <w:r w:rsidRPr="00811E15">
        <w:rPr>
          <w:bCs/>
        </w:rPr>
        <w:t>to</w:t>
      </w:r>
      <w:r w:rsidR="00CA21D9">
        <w:rPr>
          <w:bCs/>
        </w:rPr>
        <w:t>-</w:t>
      </w:r>
      <w:r w:rsidRPr="00811E15">
        <w:rPr>
          <w:bCs/>
        </w:rPr>
        <w:t>moderate</w:t>
      </w:r>
      <w:r w:rsidR="00CA21D9">
        <w:rPr>
          <w:bCs/>
        </w:rPr>
        <w:t>ly</w:t>
      </w:r>
      <w:r w:rsidRPr="00811E15">
        <w:rPr>
          <w:bCs/>
        </w:rPr>
        <w:t xml:space="preserve"> disturbed ecosystems.</w:t>
      </w:r>
    </w:p>
    <w:p w14:paraId="5E4E404A" w14:textId="75E459C4" w:rsidR="00811E15" w:rsidRDefault="003A43BA" w:rsidP="003A43BA">
      <w:pPr>
        <w:pStyle w:val="Caption"/>
      </w:pPr>
      <w:bookmarkStart w:id="27" w:name="_Ref185509961"/>
      <w:bookmarkStart w:id="28" w:name="_Toc189412392"/>
      <w:r>
        <w:lastRenderedPageBreak/>
        <w:t>Table </w:t>
      </w:r>
      <w:r w:rsidR="00D7456C">
        <w:fldChar w:fldCharType="begin"/>
      </w:r>
      <w:r w:rsidR="00D7456C">
        <w:instrText xml:space="preserve"> SEQ Table \* ARABIC </w:instrText>
      </w:r>
      <w:r w:rsidR="00D7456C">
        <w:fldChar w:fldCharType="separate"/>
      </w:r>
      <w:r w:rsidR="00E74306">
        <w:rPr>
          <w:noProof/>
        </w:rPr>
        <w:t>3</w:t>
      </w:r>
      <w:r w:rsidR="00D7456C">
        <w:rPr>
          <w:noProof/>
        </w:rPr>
        <w:fldChar w:fldCharType="end"/>
      </w:r>
      <w:bookmarkEnd w:id="27"/>
      <w:r w:rsidR="00811E15" w:rsidRPr="00811E15">
        <w:t xml:space="preserve"> Default guideline values</w:t>
      </w:r>
      <w:r w:rsidR="000D7441">
        <w:t>,</w:t>
      </w:r>
      <w:r w:rsidR="00811E15" w:rsidRPr="00811E15">
        <w:t xml:space="preserve"> simazine</w:t>
      </w:r>
      <w:r w:rsidR="000D7441">
        <w:t xml:space="preserve"> in marine water, moderate reliability</w:t>
      </w:r>
      <w:bookmarkEnd w:id="28"/>
    </w:p>
    <w:tbl>
      <w:tblPr>
        <w:tblW w:w="5000" w:type="pct"/>
        <w:tblBorders>
          <w:top w:val="nil"/>
          <w:left w:val="nil"/>
          <w:bottom w:val="nil"/>
          <w:right w:val="nil"/>
          <w:insideH w:val="nil"/>
          <w:insideV w:val="nil"/>
        </w:tblBorders>
        <w:tblLook w:val="0400" w:firstRow="0" w:lastRow="0" w:firstColumn="0" w:lastColumn="0" w:noHBand="0" w:noVBand="1"/>
        <w:tblCaption w:val="Default guideline values, simazine in marine water, moderate reliability"/>
        <w:tblDescription w:val="Table shows the DGVs for a range of protection levels for simazine in marine water. The levels of species protection are 99%, 95%, 90% and 80%. The corresponding default guideline values are 15, 30, 47 and 84 (microgram per litre), respectively."/>
      </w:tblPr>
      <w:tblGrid>
        <w:gridCol w:w="4535"/>
        <w:gridCol w:w="4535"/>
      </w:tblGrid>
      <w:tr w:rsidR="00811E15" w14:paraId="13A8A56A" w14:textId="77777777" w:rsidTr="00C663C9">
        <w:trPr>
          <w:cantSplit/>
          <w:tblHeader/>
        </w:trPr>
        <w:tc>
          <w:tcPr>
            <w:tcW w:w="2500" w:type="pct"/>
            <w:tcBorders>
              <w:top w:val="single" w:sz="12" w:space="0" w:color="000000"/>
              <w:bottom w:val="single" w:sz="12" w:space="0" w:color="000000"/>
            </w:tcBorders>
          </w:tcPr>
          <w:p w14:paraId="7E2B0A3F" w14:textId="77777777" w:rsidR="00811E15" w:rsidRDefault="00811E15" w:rsidP="00C663C9">
            <w:pPr>
              <w:pStyle w:val="TableHeading"/>
            </w:pPr>
            <w:r>
              <w:t>Level of species protection (%)</w:t>
            </w:r>
          </w:p>
        </w:tc>
        <w:tc>
          <w:tcPr>
            <w:tcW w:w="2500" w:type="pct"/>
            <w:tcBorders>
              <w:top w:val="single" w:sz="12" w:space="0" w:color="000000"/>
              <w:bottom w:val="single" w:sz="12" w:space="0" w:color="000000"/>
            </w:tcBorders>
          </w:tcPr>
          <w:p w14:paraId="54351663" w14:textId="77777777" w:rsidR="00811E15" w:rsidRDefault="00811E15" w:rsidP="00C663C9">
            <w:pPr>
              <w:pStyle w:val="TableHeading"/>
            </w:pPr>
            <w:r>
              <w:t xml:space="preserve">DGV for simazine in marine water (µg/L) </w:t>
            </w:r>
            <w:r w:rsidRPr="00C663C9">
              <w:rPr>
                <w:rStyle w:val="Strong"/>
                <w:vertAlign w:val="superscript"/>
              </w:rPr>
              <w:t>a</w:t>
            </w:r>
          </w:p>
        </w:tc>
      </w:tr>
      <w:tr w:rsidR="00811E15" w14:paraId="77A879E9" w14:textId="77777777" w:rsidTr="00C663C9">
        <w:trPr>
          <w:cantSplit/>
          <w:trHeight w:val="284"/>
        </w:trPr>
        <w:tc>
          <w:tcPr>
            <w:tcW w:w="2500" w:type="pct"/>
            <w:tcBorders>
              <w:top w:val="single" w:sz="12" w:space="0" w:color="000000"/>
              <w:bottom w:val="single" w:sz="4" w:space="0" w:color="000000"/>
            </w:tcBorders>
          </w:tcPr>
          <w:p w14:paraId="47DE97FE" w14:textId="77777777" w:rsidR="00811E15" w:rsidRDefault="00811E15" w:rsidP="00C663C9">
            <w:pPr>
              <w:pStyle w:val="TableText"/>
            </w:pPr>
            <w:r>
              <w:t>99</w:t>
            </w:r>
          </w:p>
        </w:tc>
        <w:tc>
          <w:tcPr>
            <w:tcW w:w="2500" w:type="pct"/>
            <w:tcBorders>
              <w:top w:val="single" w:sz="12" w:space="0" w:color="000000"/>
              <w:bottom w:val="single" w:sz="4" w:space="0" w:color="000000"/>
            </w:tcBorders>
          </w:tcPr>
          <w:p w14:paraId="4179C5DD" w14:textId="4098E2ED" w:rsidR="00811E15" w:rsidRDefault="00811E15" w:rsidP="00C663C9">
            <w:pPr>
              <w:pStyle w:val="TableText"/>
            </w:pPr>
            <w:r>
              <w:t>1</w:t>
            </w:r>
            <w:r w:rsidR="00672A2F">
              <w:t>5</w:t>
            </w:r>
          </w:p>
        </w:tc>
      </w:tr>
      <w:tr w:rsidR="00811E15" w14:paraId="3F782FEF" w14:textId="77777777" w:rsidTr="00C663C9">
        <w:trPr>
          <w:cantSplit/>
          <w:trHeight w:val="284"/>
        </w:trPr>
        <w:tc>
          <w:tcPr>
            <w:tcW w:w="2500" w:type="pct"/>
            <w:tcBorders>
              <w:top w:val="single" w:sz="4" w:space="0" w:color="000000"/>
              <w:bottom w:val="single" w:sz="4" w:space="0" w:color="000000"/>
            </w:tcBorders>
          </w:tcPr>
          <w:p w14:paraId="1559DC8E" w14:textId="77777777" w:rsidR="00811E15" w:rsidRDefault="00811E15" w:rsidP="00C663C9">
            <w:pPr>
              <w:pStyle w:val="TableText"/>
            </w:pPr>
            <w:r>
              <w:t>95</w:t>
            </w:r>
          </w:p>
        </w:tc>
        <w:tc>
          <w:tcPr>
            <w:tcW w:w="2500" w:type="pct"/>
            <w:tcBorders>
              <w:top w:val="single" w:sz="4" w:space="0" w:color="000000"/>
              <w:bottom w:val="single" w:sz="4" w:space="0" w:color="000000"/>
            </w:tcBorders>
          </w:tcPr>
          <w:p w14:paraId="336EDF45" w14:textId="0F23FB71" w:rsidR="00811E15" w:rsidRDefault="00811E15" w:rsidP="00C663C9">
            <w:pPr>
              <w:pStyle w:val="TableText"/>
            </w:pPr>
            <w:r>
              <w:t>3</w:t>
            </w:r>
            <w:r w:rsidR="00672A2F">
              <w:t>0</w:t>
            </w:r>
          </w:p>
        </w:tc>
      </w:tr>
      <w:tr w:rsidR="00811E15" w14:paraId="757EE462" w14:textId="77777777" w:rsidTr="00C663C9">
        <w:trPr>
          <w:cantSplit/>
          <w:trHeight w:val="284"/>
        </w:trPr>
        <w:tc>
          <w:tcPr>
            <w:tcW w:w="2500" w:type="pct"/>
            <w:tcBorders>
              <w:top w:val="single" w:sz="4" w:space="0" w:color="000000"/>
              <w:bottom w:val="single" w:sz="4" w:space="0" w:color="000000"/>
            </w:tcBorders>
          </w:tcPr>
          <w:p w14:paraId="00D3C3D0" w14:textId="77777777" w:rsidR="00811E15" w:rsidRDefault="00811E15" w:rsidP="00C663C9">
            <w:pPr>
              <w:pStyle w:val="TableText"/>
            </w:pPr>
            <w:r>
              <w:t>90</w:t>
            </w:r>
          </w:p>
        </w:tc>
        <w:tc>
          <w:tcPr>
            <w:tcW w:w="2500" w:type="pct"/>
            <w:tcBorders>
              <w:top w:val="single" w:sz="4" w:space="0" w:color="000000"/>
              <w:bottom w:val="single" w:sz="4" w:space="0" w:color="000000"/>
            </w:tcBorders>
          </w:tcPr>
          <w:p w14:paraId="570BA9D3" w14:textId="40DFD8A4" w:rsidR="00811E15" w:rsidRDefault="009F51CA" w:rsidP="00C663C9">
            <w:pPr>
              <w:pStyle w:val="TableText"/>
            </w:pPr>
            <w:r>
              <w:t>47</w:t>
            </w:r>
          </w:p>
        </w:tc>
      </w:tr>
      <w:tr w:rsidR="00811E15" w14:paraId="4D10FADB" w14:textId="77777777" w:rsidTr="00C663C9">
        <w:trPr>
          <w:cantSplit/>
          <w:trHeight w:val="284"/>
        </w:trPr>
        <w:tc>
          <w:tcPr>
            <w:tcW w:w="2500" w:type="pct"/>
            <w:tcBorders>
              <w:top w:val="single" w:sz="4" w:space="0" w:color="000000"/>
              <w:bottom w:val="single" w:sz="12" w:space="0" w:color="000000"/>
            </w:tcBorders>
          </w:tcPr>
          <w:p w14:paraId="200C7C03" w14:textId="77777777" w:rsidR="00811E15" w:rsidRDefault="00811E15" w:rsidP="00C663C9">
            <w:pPr>
              <w:pStyle w:val="TableText"/>
            </w:pPr>
            <w:r>
              <w:t>80</w:t>
            </w:r>
          </w:p>
        </w:tc>
        <w:tc>
          <w:tcPr>
            <w:tcW w:w="2500" w:type="pct"/>
            <w:tcBorders>
              <w:top w:val="single" w:sz="4" w:space="0" w:color="000000"/>
              <w:bottom w:val="single" w:sz="12" w:space="0" w:color="000000"/>
            </w:tcBorders>
          </w:tcPr>
          <w:p w14:paraId="19FE5509" w14:textId="7D4A8597" w:rsidR="00811E15" w:rsidRDefault="00811E15" w:rsidP="00C663C9">
            <w:pPr>
              <w:pStyle w:val="TableText"/>
            </w:pPr>
            <w:r>
              <w:t>8</w:t>
            </w:r>
            <w:r w:rsidR="009F51CA">
              <w:t>4</w:t>
            </w:r>
          </w:p>
        </w:tc>
      </w:tr>
    </w:tbl>
    <w:p w14:paraId="13C8BCC0" w14:textId="527FC6F6" w:rsidR="00811E15" w:rsidRPr="00FD6C22" w:rsidRDefault="00811E15" w:rsidP="00C663C9">
      <w:pPr>
        <w:pStyle w:val="FigureTableNoteSource"/>
        <w:rPr>
          <w:highlight w:val="cyan"/>
        </w:rPr>
      </w:pPr>
      <w:r w:rsidRPr="00C663C9">
        <w:rPr>
          <w:rStyle w:val="Strong"/>
        </w:rPr>
        <w:t>a</w:t>
      </w:r>
      <w:r w:rsidRPr="00811E15">
        <w:t xml:space="preserve"> Default guideline values were derived using Burrlioz 2.0 software and rounded to two significant figures.</w:t>
      </w:r>
    </w:p>
    <w:p w14:paraId="19D62889" w14:textId="3AD7AE5F" w:rsidR="001303C0" w:rsidRPr="00811E15" w:rsidRDefault="001303C0" w:rsidP="001303C0">
      <w:pPr>
        <w:pStyle w:val="Heading3"/>
      </w:pPr>
      <w:bookmarkStart w:id="29" w:name="_Toc189412382"/>
      <w:r w:rsidRPr="00811E15">
        <w:t>Reliability classification</w:t>
      </w:r>
      <w:bookmarkEnd w:id="29"/>
      <w:r w:rsidRPr="00811E15">
        <w:t xml:space="preserve"> </w:t>
      </w:r>
    </w:p>
    <w:p w14:paraId="4A5AC925" w14:textId="77777777" w:rsidR="00811E15" w:rsidRDefault="00811E15" w:rsidP="00811E15">
      <w:pPr>
        <w:rPr>
          <w:lang w:eastAsia="ja-JP"/>
        </w:rPr>
      </w:pPr>
      <w:r>
        <w:rPr>
          <w:lang w:eastAsia="ja-JP"/>
        </w:rPr>
        <w:t>The simazine marine DGVs have a moderate reliability classification (Warne et al. 2018) based on the outcomes for the following three criteria:</w:t>
      </w:r>
    </w:p>
    <w:p w14:paraId="17E35D3F" w14:textId="30B55214" w:rsidR="00811E15" w:rsidRPr="00AB1641" w:rsidRDefault="00AB1641" w:rsidP="00AB1641">
      <w:pPr>
        <w:pStyle w:val="ListBullet"/>
        <w:rPr>
          <w:lang w:eastAsia="ja-JP"/>
        </w:rPr>
      </w:pPr>
      <w:r>
        <w:rPr>
          <w:lang w:eastAsia="ja-JP"/>
        </w:rPr>
        <w:t>s</w:t>
      </w:r>
      <w:r w:rsidR="00811E15" w:rsidRPr="00AB1641">
        <w:rPr>
          <w:lang w:eastAsia="ja-JP"/>
        </w:rPr>
        <w:t>ample size—1</w:t>
      </w:r>
      <w:r w:rsidR="00A248D1">
        <w:rPr>
          <w:lang w:eastAsia="ja-JP"/>
        </w:rPr>
        <w:t>4</w:t>
      </w:r>
      <w:r w:rsidR="00811E15" w:rsidRPr="00AB1641">
        <w:rPr>
          <w:lang w:eastAsia="ja-JP"/>
        </w:rPr>
        <w:t xml:space="preserve"> (</w:t>
      </w:r>
      <w:r w:rsidR="00A655E9">
        <w:rPr>
          <w:lang w:eastAsia="ja-JP"/>
        </w:rPr>
        <w:t>good</w:t>
      </w:r>
      <w:r w:rsidR="00811E15" w:rsidRPr="00AB1641">
        <w:rPr>
          <w:lang w:eastAsia="ja-JP"/>
        </w:rPr>
        <w:t>)</w:t>
      </w:r>
    </w:p>
    <w:p w14:paraId="087CF456" w14:textId="0B00BEFC" w:rsidR="00811E15" w:rsidRPr="00AB1641" w:rsidRDefault="00AB1641" w:rsidP="00AB1641">
      <w:pPr>
        <w:pStyle w:val="ListBullet"/>
        <w:rPr>
          <w:lang w:eastAsia="ja-JP"/>
        </w:rPr>
      </w:pPr>
      <w:r>
        <w:rPr>
          <w:lang w:eastAsia="ja-JP"/>
        </w:rPr>
        <w:t>t</w:t>
      </w:r>
      <w:r w:rsidR="00811E15" w:rsidRPr="00AB1641">
        <w:rPr>
          <w:lang w:eastAsia="ja-JP"/>
        </w:rPr>
        <w:t xml:space="preserve">ype of toxicity data—chronic and converted acute </w:t>
      </w:r>
    </w:p>
    <w:p w14:paraId="40B94222" w14:textId="5323E59F" w:rsidR="00811E15" w:rsidRPr="00AB1641" w:rsidRDefault="00811E15" w:rsidP="00AB1641">
      <w:pPr>
        <w:pStyle w:val="ListBullet"/>
        <w:rPr>
          <w:lang w:eastAsia="ja-JP"/>
        </w:rPr>
      </w:pPr>
      <w:r w:rsidRPr="00AB1641">
        <w:rPr>
          <w:lang w:eastAsia="ja-JP"/>
        </w:rPr>
        <w:t>SSD model fit—good (</w:t>
      </w:r>
      <w:r w:rsidR="00AB1641" w:rsidRPr="00AB1641">
        <w:rPr>
          <w:lang w:eastAsia="ja-JP"/>
        </w:rPr>
        <w:t>Inverse Weibull</w:t>
      </w:r>
      <w:r w:rsidRPr="00AB1641">
        <w:rPr>
          <w:lang w:eastAsia="ja-JP"/>
        </w:rPr>
        <w:t>).</w:t>
      </w:r>
    </w:p>
    <w:p w14:paraId="4ACDA096" w14:textId="3CF19BE7" w:rsidR="000E52A2" w:rsidRPr="00FD6C22" w:rsidRDefault="000E52A2" w:rsidP="000E52A2">
      <w:pPr>
        <w:rPr>
          <w:highlight w:val="cyan"/>
          <w:lang w:eastAsia="ja-JP"/>
        </w:rPr>
      </w:pPr>
      <w:r w:rsidRPr="00FD6C22">
        <w:rPr>
          <w:highlight w:val="cyan"/>
          <w:lang w:eastAsia="ja-JP"/>
        </w:rPr>
        <w:br w:type="page"/>
      </w:r>
    </w:p>
    <w:p w14:paraId="2A75AA25" w14:textId="668C3C2B" w:rsidR="000756BD" w:rsidRPr="00811E15" w:rsidRDefault="001303C0" w:rsidP="001303C0">
      <w:pPr>
        <w:pStyle w:val="Heading2"/>
        <w:numPr>
          <w:ilvl w:val="0"/>
          <w:numId w:val="0"/>
        </w:numPr>
      </w:pPr>
      <w:bookmarkStart w:id="30" w:name="_Toc189412383"/>
      <w:r w:rsidRPr="00811E15">
        <w:lastRenderedPageBreak/>
        <w:t>Glossary</w:t>
      </w:r>
      <w:bookmarkEnd w:id="3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737"/>
        <w:gridCol w:w="6333"/>
      </w:tblGrid>
      <w:tr w:rsidR="00D724B9" w:rsidRPr="00811E15" w14:paraId="7B4234B7" w14:textId="77777777" w:rsidTr="00DE5470">
        <w:trPr>
          <w:cantSplit/>
          <w:tblHeader/>
        </w:trPr>
        <w:tc>
          <w:tcPr>
            <w:tcW w:w="1509" w:type="pct"/>
            <w:tcBorders>
              <w:top w:val="single" w:sz="12" w:space="0" w:color="auto"/>
              <w:bottom w:val="single" w:sz="12" w:space="0" w:color="auto"/>
            </w:tcBorders>
          </w:tcPr>
          <w:p w14:paraId="538DCD28" w14:textId="77777777" w:rsidR="001303C0" w:rsidRPr="00B87D8B" w:rsidRDefault="001303C0" w:rsidP="007336AC">
            <w:pPr>
              <w:pStyle w:val="TableHeading"/>
              <w:rPr>
                <w:lang w:eastAsia="ja-JP"/>
              </w:rPr>
            </w:pPr>
            <w:r w:rsidRPr="00B87D8B">
              <w:rPr>
                <w:lang w:eastAsia="ja-JP"/>
              </w:rPr>
              <w:t>Term</w:t>
            </w:r>
          </w:p>
        </w:tc>
        <w:tc>
          <w:tcPr>
            <w:tcW w:w="3491" w:type="pct"/>
            <w:tcBorders>
              <w:top w:val="single" w:sz="12" w:space="0" w:color="auto"/>
              <w:bottom w:val="single" w:sz="12" w:space="0" w:color="auto"/>
            </w:tcBorders>
          </w:tcPr>
          <w:p w14:paraId="0204551F" w14:textId="77777777" w:rsidR="001303C0" w:rsidRPr="00B87D8B" w:rsidRDefault="001303C0" w:rsidP="007336AC">
            <w:pPr>
              <w:pStyle w:val="TableHeading"/>
              <w:rPr>
                <w:lang w:eastAsia="ja-JP"/>
              </w:rPr>
            </w:pPr>
            <w:r w:rsidRPr="00B87D8B">
              <w:rPr>
                <w:lang w:eastAsia="ja-JP"/>
              </w:rPr>
              <w:t>Definition</w:t>
            </w:r>
          </w:p>
        </w:tc>
      </w:tr>
      <w:tr w:rsidR="007E1263" w:rsidRPr="00FD6C22" w14:paraId="331BB815" w14:textId="77777777" w:rsidTr="00DE5470">
        <w:trPr>
          <w:cantSplit/>
        </w:trPr>
        <w:tc>
          <w:tcPr>
            <w:tcW w:w="1509" w:type="pct"/>
            <w:tcBorders>
              <w:top w:val="single" w:sz="12" w:space="0" w:color="auto"/>
            </w:tcBorders>
          </w:tcPr>
          <w:p w14:paraId="682117B2" w14:textId="77777777" w:rsidR="007E1263" w:rsidRPr="00B87D8B" w:rsidRDefault="007E1263" w:rsidP="00811E15">
            <w:pPr>
              <w:pStyle w:val="TableText"/>
              <w:rPr>
                <w:lang w:eastAsia="ja-JP"/>
              </w:rPr>
            </w:pPr>
            <w:r w:rsidRPr="00B87D8B">
              <w:t>acute toxicity</w:t>
            </w:r>
          </w:p>
        </w:tc>
        <w:tc>
          <w:tcPr>
            <w:tcW w:w="3491" w:type="pct"/>
            <w:tcBorders>
              <w:top w:val="single" w:sz="12" w:space="0" w:color="auto"/>
            </w:tcBorders>
          </w:tcPr>
          <w:p w14:paraId="5896FAAE" w14:textId="77777777" w:rsidR="007E1263" w:rsidRPr="00B87D8B" w:rsidRDefault="007E1263" w:rsidP="00B87D8B">
            <w:pPr>
              <w:pStyle w:val="TableText"/>
              <w:rPr>
                <w:lang w:eastAsia="ja-JP"/>
              </w:rPr>
            </w:pPr>
            <w:r>
              <w:rPr>
                <w:lang w:eastAsia="ja-JP"/>
              </w:rPr>
              <w:t>A</w:t>
            </w:r>
            <w:r w:rsidRPr="00B87D8B">
              <w:rPr>
                <w:lang w:eastAsia="ja-JP"/>
              </w:rPr>
              <w:t xml:space="preserve"> lethal or adverse sub-lethal effect that occurs as the result of a short exposure period to a chemical relative to the organism’s life span.</w:t>
            </w:r>
          </w:p>
        </w:tc>
      </w:tr>
      <w:tr w:rsidR="007E1263" w:rsidRPr="00FD6C22" w14:paraId="63F7FBFF" w14:textId="77777777" w:rsidTr="00AB1641">
        <w:trPr>
          <w:cantSplit/>
        </w:trPr>
        <w:tc>
          <w:tcPr>
            <w:tcW w:w="1509" w:type="pct"/>
          </w:tcPr>
          <w:p w14:paraId="4971D36C" w14:textId="77777777" w:rsidR="007E1263" w:rsidRPr="00B87D8B" w:rsidRDefault="007E1263" w:rsidP="00811E15">
            <w:pPr>
              <w:pStyle w:val="TableText"/>
            </w:pPr>
            <w:r>
              <w:t>BCF</w:t>
            </w:r>
          </w:p>
        </w:tc>
        <w:tc>
          <w:tcPr>
            <w:tcW w:w="3491" w:type="pct"/>
          </w:tcPr>
          <w:p w14:paraId="2EC8AF40" w14:textId="77777777" w:rsidR="007E1263" w:rsidRPr="00B87D8B" w:rsidRDefault="007E1263" w:rsidP="00811E15">
            <w:pPr>
              <w:pStyle w:val="TableText"/>
            </w:pPr>
            <w:r>
              <w:t>Bioconcentration factor.</w:t>
            </w:r>
          </w:p>
        </w:tc>
      </w:tr>
      <w:tr w:rsidR="007E1263" w:rsidRPr="00FD6C22" w14:paraId="1BFA7227" w14:textId="77777777" w:rsidTr="00AB1641">
        <w:trPr>
          <w:cantSplit/>
        </w:trPr>
        <w:tc>
          <w:tcPr>
            <w:tcW w:w="1509" w:type="pct"/>
          </w:tcPr>
          <w:p w14:paraId="3B8B45FF" w14:textId="77777777" w:rsidR="007E1263" w:rsidRPr="00B87D8B" w:rsidRDefault="007E1263" w:rsidP="00811E15">
            <w:pPr>
              <w:pStyle w:val="TableText"/>
              <w:rPr>
                <w:lang w:eastAsia="ja-JP"/>
              </w:rPr>
            </w:pPr>
            <w:r w:rsidRPr="00B87D8B">
              <w:t>bimodal</w:t>
            </w:r>
          </w:p>
        </w:tc>
        <w:tc>
          <w:tcPr>
            <w:tcW w:w="3491" w:type="pct"/>
          </w:tcPr>
          <w:p w14:paraId="690911BD" w14:textId="77777777" w:rsidR="007E1263" w:rsidRPr="00B87D8B" w:rsidRDefault="007E1263" w:rsidP="00811E15">
            <w:pPr>
              <w:pStyle w:val="TableText"/>
              <w:rPr>
                <w:lang w:eastAsia="ja-JP"/>
              </w:rPr>
            </w:pPr>
            <w:r w:rsidRPr="00B87D8B">
              <w:t xml:space="preserve">When the distribution of the sensitivity of species to a toxicant has two modes. This typically occurs with chemicals with specific modes of action. For example, herbicides are designed to affect plants at low concentrations but most animals are only affected at high concentrations. </w:t>
            </w:r>
          </w:p>
        </w:tc>
      </w:tr>
      <w:tr w:rsidR="007E1263" w:rsidRPr="00FD6C22" w14:paraId="79900DF5" w14:textId="77777777" w:rsidTr="00AB1641">
        <w:trPr>
          <w:cantSplit/>
        </w:trPr>
        <w:tc>
          <w:tcPr>
            <w:tcW w:w="1509" w:type="pct"/>
          </w:tcPr>
          <w:p w14:paraId="71FA0A9F" w14:textId="77777777" w:rsidR="007E1263" w:rsidRPr="00B87D8B" w:rsidRDefault="007E1263" w:rsidP="00811E15">
            <w:pPr>
              <w:pStyle w:val="TableText"/>
              <w:rPr>
                <w:lang w:eastAsia="ja-JP"/>
              </w:rPr>
            </w:pPr>
            <w:r w:rsidRPr="00B87D8B">
              <w:t>CAS no.</w:t>
            </w:r>
          </w:p>
        </w:tc>
        <w:tc>
          <w:tcPr>
            <w:tcW w:w="3491" w:type="pct"/>
          </w:tcPr>
          <w:p w14:paraId="20766867" w14:textId="77777777" w:rsidR="007E1263" w:rsidRPr="00B87D8B" w:rsidRDefault="007E1263" w:rsidP="00811E15">
            <w:pPr>
              <w:pStyle w:val="TableText"/>
            </w:pPr>
            <w:r w:rsidRPr="00B87D8B">
              <w:t>Chemical Abstracts Service number. Each chemical has a unique identifying number that is allocated to it by the American Chemical Society.</w:t>
            </w:r>
          </w:p>
        </w:tc>
      </w:tr>
      <w:tr w:rsidR="007E1263" w:rsidRPr="00FD6C22" w14:paraId="03C718B6" w14:textId="77777777" w:rsidTr="00AB1641">
        <w:trPr>
          <w:cantSplit/>
        </w:trPr>
        <w:tc>
          <w:tcPr>
            <w:tcW w:w="1509" w:type="pct"/>
          </w:tcPr>
          <w:p w14:paraId="26746857" w14:textId="77777777" w:rsidR="007E1263" w:rsidRPr="00B87D8B" w:rsidRDefault="007E1263" w:rsidP="00811E15">
            <w:pPr>
              <w:pStyle w:val="TableText"/>
              <w:rPr>
                <w:lang w:eastAsia="ja-JP"/>
              </w:rPr>
            </w:pPr>
            <w:r w:rsidRPr="00B87D8B">
              <w:t>chronic toxicity</w:t>
            </w:r>
          </w:p>
        </w:tc>
        <w:tc>
          <w:tcPr>
            <w:tcW w:w="3491" w:type="pct"/>
          </w:tcPr>
          <w:p w14:paraId="5AD3A0A7" w14:textId="77777777" w:rsidR="007E1263" w:rsidRPr="00B87D8B" w:rsidRDefault="007E1263" w:rsidP="00D264FD">
            <w:pPr>
              <w:pStyle w:val="TableText"/>
            </w:pPr>
            <w:r>
              <w:t>A</w:t>
            </w:r>
            <w:r w:rsidRPr="00D264FD">
              <w:t xml:space="preserve"> lethal or sublethal adverse effect that occurs after exposure to a chemical for a period of time that is a substantial portion of the organism’s life span or an adverse effect on a sensitive early life stage.</w:t>
            </w:r>
          </w:p>
        </w:tc>
      </w:tr>
      <w:tr w:rsidR="007E1263" w:rsidRPr="00FD6C22" w14:paraId="0DE4FFA3" w14:textId="77777777" w:rsidTr="00AB1641">
        <w:trPr>
          <w:cantSplit/>
        </w:trPr>
        <w:tc>
          <w:tcPr>
            <w:tcW w:w="1509" w:type="pct"/>
          </w:tcPr>
          <w:p w14:paraId="080BC321" w14:textId="77777777" w:rsidR="007E1263" w:rsidRPr="00B87D8B" w:rsidRDefault="007E1263" w:rsidP="00811E15">
            <w:pPr>
              <w:pStyle w:val="TableText"/>
              <w:rPr>
                <w:lang w:eastAsia="ja-JP"/>
              </w:rPr>
            </w:pPr>
            <w:r w:rsidRPr="00B87D8B">
              <w:t>default guideline value (DGV)</w:t>
            </w:r>
          </w:p>
        </w:tc>
        <w:tc>
          <w:tcPr>
            <w:tcW w:w="3491" w:type="pct"/>
          </w:tcPr>
          <w:p w14:paraId="464987A1" w14:textId="77777777" w:rsidR="007E1263" w:rsidRPr="00B87D8B" w:rsidRDefault="007E1263" w:rsidP="00D264FD">
            <w:pPr>
              <w:pStyle w:val="TableText"/>
            </w:pPr>
            <w:r w:rsidRPr="00B87D8B">
              <w:t xml:space="preserve">A guideline value recommended for generic application in the absence of a more specific guideline value (e.g. site-specific) in the Australian and New Zealand </w:t>
            </w:r>
            <w:r w:rsidRPr="00D264FD">
              <w:t>Guidelines for Fresh and Marine Water Quality</w:t>
            </w:r>
            <w:r>
              <w:t>.</w:t>
            </w:r>
          </w:p>
        </w:tc>
      </w:tr>
      <w:tr w:rsidR="007E1263" w:rsidRPr="00FD6C22" w14:paraId="616426D4" w14:textId="77777777" w:rsidTr="00AB1641">
        <w:trPr>
          <w:cantSplit/>
        </w:trPr>
        <w:tc>
          <w:tcPr>
            <w:tcW w:w="1509" w:type="pct"/>
          </w:tcPr>
          <w:p w14:paraId="252FC305" w14:textId="77777777" w:rsidR="007E1263" w:rsidRPr="00B87D8B" w:rsidRDefault="007E1263" w:rsidP="00811E15">
            <w:pPr>
              <w:pStyle w:val="TableText"/>
              <w:rPr>
                <w:lang w:eastAsia="ja-JP"/>
              </w:rPr>
            </w:pPr>
            <w:r w:rsidRPr="00B87D8B">
              <w:t>EC50 (median effective concentration)</w:t>
            </w:r>
          </w:p>
        </w:tc>
        <w:tc>
          <w:tcPr>
            <w:tcW w:w="3491" w:type="pct"/>
          </w:tcPr>
          <w:p w14:paraId="34595023" w14:textId="77777777" w:rsidR="007E1263" w:rsidRPr="00B87D8B" w:rsidRDefault="007E1263" w:rsidP="004F6834">
            <w:pPr>
              <w:pStyle w:val="TableText"/>
              <w:rPr>
                <w:lang w:eastAsia="ja-JP"/>
              </w:rPr>
            </w:pPr>
            <w:r>
              <w:rPr>
                <w:lang w:eastAsia="ja-JP"/>
              </w:rPr>
              <w:t>T</w:t>
            </w:r>
            <w:r w:rsidRPr="004F6834">
              <w:rPr>
                <w:lang w:eastAsia="ja-JP"/>
              </w:rPr>
              <w:t>he concentration of a substance in water or sediment that is estimated to produce a 50% change in the response being measured or a certain effect in 50% of the test organisms relative to the control response, under specified conditions.</w:t>
            </w:r>
          </w:p>
        </w:tc>
      </w:tr>
      <w:tr w:rsidR="007E1263" w:rsidRPr="00FD6C22" w14:paraId="45FFC1B6" w14:textId="77777777" w:rsidTr="00AB1641">
        <w:trPr>
          <w:cantSplit/>
        </w:trPr>
        <w:tc>
          <w:tcPr>
            <w:tcW w:w="1509" w:type="pct"/>
          </w:tcPr>
          <w:p w14:paraId="5A32843B" w14:textId="77777777" w:rsidR="007E1263" w:rsidRPr="00B87D8B" w:rsidRDefault="007E1263" w:rsidP="00811E15">
            <w:pPr>
              <w:pStyle w:val="TableText"/>
              <w:rPr>
                <w:lang w:eastAsia="ja-JP"/>
              </w:rPr>
            </w:pPr>
            <w:proofErr w:type="spellStart"/>
            <w:r w:rsidRPr="00B87D8B">
              <w:t>ECx</w:t>
            </w:r>
            <w:proofErr w:type="spellEnd"/>
          </w:p>
        </w:tc>
        <w:tc>
          <w:tcPr>
            <w:tcW w:w="3491" w:type="pct"/>
          </w:tcPr>
          <w:p w14:paraId="5F07B6E1" w14:textId="77777777" w:rsidR="007E1263" w:rsidRPr="00B87D8B" w:rsidRDefault="007E1263" w:rsidP="004F6834">
            <w:pPr>
              <w:pStyle w:val="TableText"/>
              <w:rPr>
                <w:lang w:eastAsia="ja-JP"/>
              </w:rPr>
            </w:pPr>
            <w:r>
              <w:rPr>
                <w:lang w:eastAsia="ja-JP"/>
              </w:rPr>
              <w:t>T</w:t>
            </w:r>
            <w:r w:rsidRPr="004F6834">
              <w:rPr>
                <w:lang w:eastAsia="ja-JP"/>
              </w:rPr>
              <w:t>he concentration of a substance in water or sediment that is estimated to produce an x% change in the response being measured or a certain effect in x% of the test organisms, under specified conditions.</w:t>
            </w:r>
          </w:p>
        </w:tc>
      </w:tr>
      <w:tr w:rsidR="007E1263" w:rsidRPr="00FD6C22" w14:paraId="3A771AA3" w14:textId="77777777" w:rsidTr="00AB1641">
        <w:trPr>
          <w:cantSplit/>
        </w:trPr>
        <w:tc>
          <w:tcPr>
            <w:tcW w:w="1509" w:type="pct"/>
          </w:tcPr>
          <w:p w14:paraId="7FB73323" w14:textId="77777777" w:rsidR="007E1263" w:rsidRPr="00B87D8B" w:rsidRDefault="007E1263" w:rsidP="00811E15">
            <w:pPr>
              <w:pStyle w:val="TableText"/>
              <w:rPr>
                <w:lang w:eastAsia="ja-JP"/>
              </w:rPr>
            </w:pPr>
            <w:r w:rsidRPr="00B87D8B">
              <w:t>endpoint</w:t>
            </w:r>
          </w:p>
        </w:tc>
        <w:tc>
          <w:tcPr>
            <w:tcW w:w="3491" w:type="pct"/>
          </w:tcPr>
          <w:p w14:paraId="3231C59E" w14:textId="77777777" w:rsidR="007E1263" w:rsidRPr="00B87D8B" w:rsidRDefault="007E1263" w:rsidP="00E70287">
            <w:pPr>
              <w:pStyle w:val="TableText"/>
              <w:rPr>
                <w:lang w:eastAsia="ja-JP"/>
              </w:rPr>
            </w:pPr>
            <w:r>
              <w:rPr>
                <w:lang w:eastAsia="ja-JP"/>
              </w:rPr>
              <w:t>T</w:t>
            </w:r>
            <w:r w:rsidRPr="00E70287">
              <w:rPr>
                <w:lang w:eastAsia="ja-JP"/>
              </w:rPr>
              <w:t>he specific response of an organism that is measured in a toxicity test (e.g. mortality, growth, a particular biomarker).</w:t>
            </w:r>
          </w:p>
        </w:tc>
      </w:tr>
      <w:tr w:rsidR="007E1263" w:rsidRPr="00FD6C22" w14:paraId="45416348" w14:textId="77777777" w:rsidTr="00AB1641">
        <w:trPr>
          <w:cantSplit/>
        </w:trPr>
        <w:tc>
          <w:tcPr>
            <w:tcW w:w="1509" w:type="pct"/>
          </w:tcPr>
          <w:p w14:paraId="0645A9B3" w14:textId="77777777" w:rsidR="007E1263" w:rsidRPr="00B87D8B" w:rsidRDefault="007E1263" w:rsidP="00811E15">
            <w:pPr>
              <w:pStyle w:val="TableText"/>
              <w:rPr>
                <w:lang w:eastAsia="ja-JP"/>
              </w:rPr>
            </w:pPr>
            <w:r w:rsidRPr="00B87D8B">
              <w:t>guideline value (GV)</w:t>
            </w:r>
          </w:p>
        </w:tc>
        <w:tc>
          <w:tcPr>
            <w:tcW w:w="3491" w:type="pct"/>
          </w:tcPr>
          <w:p w14:paraId="398BDA45" w14:textId="77777777" w:rsidR="007E1263" w:rsidRPr="00B87D8B" w:rsidRDefault="007E1263" w:rsidP="00811E15">
            <w:pPr>
              <w:pStyle w:val="TableText"/>
            </w:pPr>
            <w:r w:rsidRPr="00B87D8B">
              <w:t xml:space="preserve">A measurable quantity (e.g. concentration) or condition of an indicator for a specific </w:t>
            </w:r>
            <w:r w:rsidRPr="005E01AE">
              <w:rPr>
                <w:lang w:eastAsia="ja-JP"/>
              </w:rPr>
              <w:t xml:space="preserve">community </w:t>
            </w:r>
            <w:r w:rsidRPr="00B87D8B">
              <w:t xml:space="preserve">value below which (or above which, in the case of stressors such as pH, dissolved oxygen and many biodiversity responses) there is considered to be a low risk of unacceptable effects occurring to that </w:t>
            </w:r>
            <w:r w:rsidRPr="005E01AE">
              <w:rPr>
                <w:lang w:eastAsia="ja-JP"/>
              </w:rPr>
              <w:t xml:space="preserve">community </w:t>
            </w:r>
            <w:r w:rsidRPr="00B87D8B">
              <w:t>value. Guideline values for more than one indicator should be used simultaneously in a multiple lines of evidence approach.</w:t>
            </w:r>
          </w:p>
        </w:tc>
      </w:tr>
      <w:tr w:rsidR="007E1263" w:rsidRPr="00FD6C22" w14:paraId="3B6EFB4C" w14:textId="77777777" w:rsidTr="00AB1641">
        <w:trPr>
          <w:cantSplit/>
        </w:trPr>
        <w:tc>
          <w:tcPr>
            <w:tcW w:w="1509" w:type="pct"/>
          </w:tcPr>
          <w:p w14:paraId="788A8F4E" w14:textId="77777777" w:rsidR="007E1263" w:rsidRPr="00B87D8B" w:rsidRDefault="007E1263" w:rsidP="00811E15">
            <w:pPr>
              <w:pStyle w:val="TableText"/>
              <w:rPr>
                <w:lang w:eastAsia="ja-JP"/>
              </w:rPr>
            </w:pPr>
            <w:r w:rsidRPr="00B87D8B">
              <w:t>heterotroph</w:t>
            </w:r>
          </w:p>
        </w:tc>
        <w:tc>
          <w:tcPr>
            <w:tcW w:w="3491" w:type="pct"/>
          </w:tcPr>
          <w:p w14:paraId="76A88E7B" w14:textId="77777777" w:rsidR="007E1263" w:rsidRPr="00B87D8B" w:rsidRDefault="007E1263" w:rsidP="00811E15">
            <w:pPr>
              <w:pStyle w:val="TableText"/>
              <w:rPr>
                <w:lang w:eastAsia="ja-JP"/>
              </w:rPr>
            </w:pPr>
            <w:r w:rsidRPr="00B87D8B">
              <w:t>An organism that cannot manufacture its own energy and needs to obtain energy from external sources (i.e. by consuming other organisms)</w:t>
            </w:r>
            <w:r>
              <w:t>.</w:t>
            </w:r>
          </w:p>
        </w:tc>
      </w:tr>
      <w:tr w:rsidR="007E1263" w:rsidRPr="00FD6C22" w14:paraId="2E60FBF9" w14:textId="77777777" w:rsidTr="00AB1641">
        <w:trPr>
          <w:cantSplit/>
        </w:trPr>
        <w:tc>
          <w:tcPr>
            <w:tcW w:w="1509" w:type="pct"/>
          </w:tcPr>
          <w:p w14:paraId="2BAB5AC4" w14:textId="77777777" w:rsidR="007E1263" w:rsidRPr="00B87D8B" w:rsidRDefault="007E1263" w:rsidP="00811E15">
            <w:pPr>
              <w:pStyle w:val="TableText"/>
              <w:rPr>
                <w:lang w:eastAsia="ja-JP"/>
              </w:rPr>
            </w:pPr>
            <w:proofErr w:type="spellStart"/>
            <w:r w:rsidRPr="00B87D8B">
              <w:t>ICx</w:t>
            </w:r>
            <w:proofErr w:type="spellEnd"/>
          </w:p>
        </w:tc>
        <w:tc>
          <w:tcPr>
            <w:tcW w:w="3491" w:type="pct"/>
          </w:tcPr>
          <w:p w14:paraId="67C5E7F8" w14:textId="77777777" w:rsidR="007E1263" w:rsidRPr="00B87D8B" w:rsidRDefault="007E1263" w:rsidP="005E01AE">
            <w:pPr>
              <w:pStyle w:val="TableText"/>
              <w:rPr>
                <w:lang w:eastAsia="ja-JP"/>
              </w:rPr>
            </w:pPr>
            <w:r>
              <w:rPr>
                <w:lang w:eastAsia="ja-JP"/>
              </w:rPr>
              <w:t>T</w:t>
            </w:r>
            <w:r w:rsidRPr="005E01AE">
              <w:rPr>
                <w:lang w:eastAsia="ja-JP"/>
              </w:rPr>
              <w:t>he concentration of a substance in water or sediment that is estimated to produce an x% inhibition of the response being measured in test organisms relative to the control response, under specified conditions.</w:t>
            </w:r>
          </w:p>
        </w:tc>
      </w:tr>
      <w:tr w:rsidR="007E1263" w:rsidRPr="00FD6C22" w14:paraId="5998218C" w14:textId="77777777" w:rsidTr="00AB1641">
        <w:trPr>
          <w:cantSplit/>
        </w:trPr>
        <w:tc>
          <w:tcPr>
            <w:tcW w:w="1509" w:type="pct"/>
          </w:tcPr>
          <w:p w14:paraId="59AF41FE" w14:textId="77777777" w:rsidR="007E1263" w:rsidRPr="00B87D8B" w:rsidRDefault="007E1263" w:rsidP="00811E15">
            <w:pPr>
              <w:pStyle w:val="TableText"/>
              <w:rPr>
                <w:lang w:eastAsia="ja-JP"/>
              </w:rPr>
            </w:pPr>
            <w:r w:rsidRPr="00B87D8B">
              <w:t>LC50 (median lethal concentration)</w:t>
            </w:r>
          </w:p>
        </w:tc>
        <w:tc>
          <w:tcPr>
            <w:tcW w:w="3491" w:type="pct"/>
          </w:tcPr>
          <w:p w14:paraId="33839281" w14:textId="77777777" w:rsidR="007E1263" w:rsidRPr="00B87D8B" w:rsidRDefault="007E1263" w:rsidP="005E01AE">
            <w:pPr>
              <w:pStyle w:val="TableText"/>
              <w:rPr>
                <w:shd w:val="clear" w:color="auto" w:fill="FFFFFF"/>
              </w:rPr>
            </w:pPr>
            <w:r>
              <w:rPr>
                <w:shd w:val="clear" w:color="auto" w:fill="FFFFFF"/>
              </w:rPr>
              <w:t>T</w:t>
            </w:r>
            <w:r w:rsidRPr="005E01AE">
              <w:rPr>
                <w:shd w:val="clear" w:color="auto" w:fill="FFFFFF"/>
              </w:rPr>
              <w:t>he concentration of a substance in water or sediment that is estimated to be lethal to 50% of a group of test organisms, relative to the control response, under specified conditions.</w:t>
            </w:r>
          </w:p>
        </w:tc>
      </w:tr>
      <w:tr w:rsidR="007E1263" w:rsidRPr="00FD6C22" w14:paraId="33B22876" w14:textId="77777777" w:rsidTr="00AB1641">
        <w:trPr>
          <w:cantSplit/>
        </w:trPr>
        <w:tc>
          <w:tcPr>
            <w:tcW w:w="1509" w:type="pct"/>
          </w:tcPr>
          <w:p w14:paraId="3C4BEB06" w14:textId="77777777" w:rsidR="007E1263" w:rsidRPr="00B87D8B" w:rsidRDefault="007E1263" w:rsidP="00811E15">
            <w:pPr>
              <w:pStyle w:val="TableText"/>
              <w:rPr>
                <w:lang w:eastAsia="ja-JP"/>
              </w:rPr>
            </w:pPr>
            <w:r w:rsidRPr="00B87D8B">
              <w:t>LOEC (lowest observed effect concentration)</w:t>
            </w:r>
          </w:p>
        </w:tc>
        <w:tc>
          <w:tcPr>
            <w:tcW w:w="3491" w:type="pct"/>
          </w:tcPr>
          <w:p w14:paraId="478425FD" w14:textId="77777777" w:rsidR="007E1263" w:rsidRPr="00B87D8B" w:rsidRDefault="007E1263" w:rsidP="005D287B">
            <w:pPr>
              <w:pStyle w:val="TableText"/>
              <w:rPr>
                <w:lang w:eastAsia="ja-JP"/>
              </w:rPr>
            </w:pPr>
            <w:r>
              <w:rPr>
                <w:lang w:eastAsia="ja-JP"/>
              </w:rPr>
              <w:t>T</w:t>
            </w:r>
            <w:r w:rsidRPr="005D287B">
              <w:rPr>
                <w:lang w:eastAsia="ja-JP"/>
              </w:rPr>
              <w:t>he lowest concentration of a material used in a toxicity test that has a statistically significant adverse effect on the exposed population of test organisms as compared with the controls.</w:t>
            </w:r>
          </w:p>
        </w:tc>
      </w:tr>
      <w:tr w:rsidR="007E1263" w:rsidRPr="00FD6C22" w14:paraId="6F3AE218" w14:textId="77777777" w:rsidTr="00AB1641">
        <w:trPr>
          <w:cantSplit/>
        </w:trPr>
        <w:tc>
          <w:tcPr>
            <w:tcW w:w="1509" w:type="pct"/>
          </w:tcPr>
          <w:p w14:paraId="54C710A1" w14:textId="77777777" w:rsidR="007E1263" w:rsidRPr="00B87D8B" w:rsidRDefault="007E1263" w:rsidP="00811E15">
            <w:pPr>
              <w:pStyle w:val="TableText"/>
              <w:rPr>
                <w:lang w:eastAsia="ja-JP"/>
              </w:rPr>
            </w:pPr>
            <w:r w:rsidRPr="00B87D8B">
              <w:t>LOEL (lowest observed effect level)</w:t>
            </w:r>
          </w:p>
        </w:tc>
        <w:tc>
          <w:tcPr>
            <w:tcW w:w="3491" w:type="pct"/>
          </w:tcPr>
          <w:p w14:paraId="73D5E18D" w14:textId="77777777" w:rsidR="007E1263" w:rsidRPr="00B87D8B" w:rsidRDefault="007E1263" w:rsidP="00811E15">
            <w:pPr>
              <w:pStyle w:val="TableText"/>
              <w:rPr>
                <w:lang w:eastAsia="ja-JP"/>
              </w:rPr>
            </w:pPr>
            <w:r w:rsidRPr="00B87D8B">
              <w:t>Synonymous with LOEC.</w:t>
            </w:r>
          </w:p>
        </w:tc>
      </w:tr>
      <w:tr w:rsidR="007E1263" w:rsidRPr="00FD6C22" w14:paraId="118DF58A" w14:textId="77777777" w:rsidTr="00AB1641">
        <w:trPr>
          <w:cantSplit/>
        </w:trPr>
        <w:tc>
          <w:tcPr>
            <w:tcW w:w="1509" w:type="pct"/>
          </w:tcPr>
          <w:p w14:paraId="4100A6EF" w14:textId="77777777" w:rsidR="007E1263" w:rsidRPr="00B87D8B" w:rsidRDefault="007E1263" w:rsidP="00811E15">
            <w:pPr>
              <w:pStyle w:val="TableText"/>
              <w:rPr>
                <w:lang w:eastAsia="ja-JP"/>
              </w:rPr>
            </w:pPr>
            <w:r w:rsidRPr="00B87D8B">
              <w:t>mode of action</w:t>
            </w:r>
          </w:p>
        </w:tc>
        <w:tc>
          <w:tcPr>
            <w:tcW w:w="3491" w:type="pct"/>
          </w:tcPr>
          <w:p w14:paraId="5110EE2C" w14:textId="77777777" w:rsidR="007E1263" w:rsidRPr="00B87D8B" w:rsidRDefault="007E1263" w:rsidP="00811E15">
            <w:pPr>
              <w:pStyle w:val="TableText"/>
              <w:rPr>
                <w:lang w:eastAsia="ja-JP"/>
              </w:rPr>
            </w:pPr>
            <w:r w:rsidRPr="00B87D8B">
              <w:t>The means by which a chemical exerts its toxic effects. For example, triazine herbicides inhibit the photosystem II component of plants</w:t>
            </w:r>
            <w:r>
              <w:t>’</w:t>
            </w:r>
            <w:r w:rsidRPr="00B87D8B">
              <w:t xml:space="preserve"> photosynthesis biochemical reaction. </w:t>
            </w:r>
          </w:p>
        </w:tc>
      </w:tr>
      <w:tr w:rsidR="007E1263" w:rsidRPr="00FD6C22" w14:paraId="5D85EFD3" w14:textId="77777777" w:rsidTr="00AB1641">
        <w:trPr>
          <w:cantSplit/>
        </w:trPr>
        <w:tc>
          <w:tcPr>
            <w:tcW w:w="1509" w:type="pct"/>
          </w:tcPr>
          <w:p w14:paraId="0E1163A9" w14:textId="77777777" w:rsidR="007E1263" w:rsidRPr="00B87D8B" w:rsidRDefault="007E1263" w:rsidP="00811E15">
            <w:pPr>
              <w:pStyle w:val="TableText"/>
              <w:rPr>
                <w:lang w:eastAsia="ja-JP"/>
              </w:rPr>
            </w:pPr>
            <w:r w:rsidRPr="00B87D8B">
              <w:t>NEC (no effect concentration)</w:t>
            </w:r>
          </w:p>
        </w:tc>
        <w:tc>
          <w:tcPr>
            <w:tcW w:w="3491" w:type="pct"/>
          </w:tcPr>
          <w:p w14:paraId="4C290A88" w14:textId="77777777" w:rsidR="007E1263" w:rsidRPr="00B87D8B" w:rsidRDefault="007E1263" w:rsidP="00811E15">
            <w:pPr>
              <w:pStyle w:val="TableText"/>
              <w:rPr>
                <w:lang w:eastAsia="ja-JP"/>
              </w:rPr>
            </w:pPr>
            <w:r w:rsidRPr="00B87D8B">
              <w:t>The highest concentration that does not have an effect</w:t>
            </w:r>
            <w:r>
              <w:t>—</w:t>
            </w:r>
            <w:r w:rsidRPr="00B87D8B">
              <w:t xml:space="preserve">this is determined differently </w:t>
            </w:r>
            <w:r>
              <w:t>to</w:t>
            </w:r>
            <w:r w:rsidRPr="00B87D8B">
              <w:t xml:space="preserve"> a NOEC.</w:t>
            </w:r>
          </w:p>
        </w:tc>
      </w:tr>
      <w:tr w:rsidR="007E1263" w:rsidRPr="00FD6C22" w14:paraId="3F7E7831" w14:textId="77777777" w:rsidTr="00AB1641">
        <w:trPr>
          <w:cantSplit/>
        </w:trPr>
        <w:tc>
          <w:tcPr>
            <w:tcW w:w="1509" w:type="pct"/>
          </w:tcPr>
          <w:p w14:paraId="764E6B7C" w14:textId="77777777" w:rsidR="007E1263" w:rsidRPr="00B87D8B" w:rsidRDefault="007E1263" w:rsidP="00811E15">
            <w:pPr>
              <w:pStyle w:val="TableText"/>
              <w:rPr>
                <w:lang w:eastAsia="ja-JP"/>
              </w:rPr>
            </w:pPr>
            <w:r w:rsidRPr="00B87D8B">
              <w:lastRenderedPageBreak/>
              <w:t>NOEC (no observed effect concentration)</w:t>
            </w:r>
          </w:p>
        </w:tc>
        <w:tc>
          <w:tcPr>
            <w:tcW w:w="3491" w:type="pct"/>
          </w:tcPr>
          <w:p w14:paraId="397E5B39" w14:textId="77777777" w:rsidR="007E1263" w:rsidRPr="00B87D8B" w:rsidRDefault="007E1263" w:rsidP="00475781">
            <w:pPr>
              <w:pStyle w:val="TableText"/>
              <w:rPr>
                <w:lang w:eastAsia="ja-JP"/>
              </w:rPr>
            </w:pPr>
            <w:r>
              <w:t>T</w:t>
            </w:r>
            <w:r w:rsidRPr="00475781">
              <w:t>he highest concentration of a material used in a toxicity test that has no statistically significant adverse effect on the exposed population of test organisms as compared with the controls.</w:t>
            </w:r>
          </w:p>
        </w:tc>
      </w:tr>
      <w:tr w:rsidR="007E1263" w:rsidRPr="00FD6C22" w14:paraId="76CA49FA" w14:textId="77777777" w:rsidTr="00AB1641">
        <w:trPr>
          <w:cantSplit/>
        </w:trPr>
        <w:tc>
          <w:tcPr>
            <w:tcW w:w="1509" w:type="pct"/>
          </w:tcPr>
          <w:p w14:paraId="71D5CB83" w14:textId="77777777" w:rsidR="007E1263" w:rsidRPr="00B87D8B" w:rsidRDefault="007E1263" w:rsidP="00811E15">
            <w:pPr>
              <w:pStyle w:val="TableText"/>
              <w:rPr>
                <w:lang w:eastAsia="ja-JP"/>
              </w:rPr>
            </w:pPr>
            <w:r w:rsidRPr="00B87D8B">
              <w:t>NOEL (no observed effect level)</w:t>
            </w:r>
          </w:p>
        </w:tc>
        <w:tc>
          <w:tcPr>
            <w:tcW w:w="3491" w:type="pct"/>
          </w:tcPr>
          <w:p w14:paraId="31ED4705" w14:textId="77777777" w:rsidR="007E1263" w:rsidRPr="00B87D8B" w:rsidRDefault="007E1263" w:rsidP="00811E15">
            <w:pPr>
              <w:pStyle w:val="TableText"/>
              <w:rPr>
                <w:lang w:eastAsia="ja-JP"/>
              </w:rPr>
            </w:pPr>
            <w:r w:rsidRPr="00B87D8B">
              <w:t>Synonymous with NOEC.</w:t>
            </w:r>
          </w:p>
        </w:tc>
      </w:tr>
      <w:tr w:rsidR="007E1263" w:rsidRPr="00FD6C22" w14:paraId="0722AA71" w14:textId="77777777" w:rsidTr="00AB1641">
        <w:trPr>
          <w:cantSplit/>
        </w:trPr>
        <w:tc>
          <w:tcPr>
            <w:tcW w:w="1509" w:type="pct"/>
          </w:tcPr>
          <w:p w14:paraId="498500BE" w14:textId="77777777" w:rsidR="007E1263" w:rsidRPr="00B87D8B" w:rsidRDefault="007E1263" w:rsidP="00811E15">
            <w:pPr>
              <w:pStyle w:val="TableText"/>
              <w:rPr>
                <w:lang w:eastAsia="ja-JP"/>
              </w:rPr>
            </w:pPr>
            <w:r w:rsidRPr="00B87D8B">
              <w:t>phototroph</w:t>
            </w:r>
          </w:p>
        </w:tc>
        <w:tc>
          <w:tcPr>
            <w:tcW w:w="3491" w:type="pct"/>
          </w:tcPr>
          <w:p w14:paraId="0E7A5BDB" w14:textId="77777777" w:rsidR="007E1263" w:rsidRPr="00B87D8B" w:rsidRDefault="007E1263" w:rsidP="00811E15">
            <w:pPr>
              <w:pStyle w:val="TableText"/>
              <w:rPr>
                <w:lang w:eastAsia="ja-JP"/>
              </w:rPr>
            </w:pPr>
            <w:r w:rsidRPr="00B87D8B">
              <w:t>An organism that photosynthesi</w:t>
            </w:r>
            <w:r>
              <w:t>s</w:t>
            </w:r>
            <w:r w:rsidRPr="00B87D8B">
              <w:t>es as its main means of obtaining energy (e.g. plants and algae).</w:t>
            </w:r>
          </w:p>
        </w:tc>
      </w:tr>
      <w:tr w:rsidR="007E1263" w:rsidRPr="00FD6C22" w14:paraId="470DD467" w14:textId="77777777" w:rsidTr="00AB1641">
        <w:trPr>
          <w:cantSplit/>
        </w:trPr>
        <w:tc>
          <w:tcPr>
            <w:tcW w:w="1509" w:type="pct"/>
          </w:tcPr>
          <w:p w14:paraId="57F16846" w14:textId="77777777" w:rsidR="007E1263" w:rsidRPr="00B87D8B" w:rsidRDefault="007E1263" w:rsidP="00811E15">
            <w:pPr>
              <w:pStyle w:val="TableText"/>
              <w:rPr>
                <w:lang w:eastAsia="ja-JP"/>
              </w:rPr>
            </w:pPr>
            <w:r w:rsidRPr="00B87D8B">
              <w:t>PSII</w:t>
            </w:r>
          </w:p>
        </w:tc>
        <w:tc>
          <w:tcPr>
            <w:tcW w:w="3491" w:type="pct"/>
          </w:tcPr>
          <w:p w14:paraId="633A1A3F" w14:textId="77777777" w:rsidR="007E1263" w:rsidRPr="00B87D8B" w:rsidRDefault="007E1263" w:rsidP="00811E15">
            <w:pPr>
              <w:pStyle w:val="TableText"/>
              <w:rPr>
                <w:lang w:eastAsia="ja-JP"/>
              </w:rPr>
            </w:pPr>
            <w:r w:rsidRPr="00B87D8B">
              <w:t>Photosystem II of the photosynthetic biochemical pathway.</w:t>
            </w:r>
          </w:p>
        </w:tc>
      </w:tr>
      <w:tr w:rsidR="007E1263" w:rsidRPr="00FD6C22" w14:paraId="4C643B62" w14:textId="77777777" w:rsidTr="00AB1641">
        <w:trPr>
          <w:cantSplit/>
        </w:trPr>
        <w:tc>
          <w:tcPr>
            <w:tcW w:w="1509" w:type="pct"/>
          </w:tcPr>
          <w:p w14:paraId="789A545F" w14:textId="77777777" w:rsidR="007E1263" w:rsidRPr="00B87D8B" w:rsidRDefault="007E1263" w:rsidP="00811E15">
            <w:pPr>
              <w:pStyle w:val="TableText"/>
              <w:rPr>
                <w:lang w:eastAsia="ja-JP"/>
              </w:rPr>
            </w:pPr>
            <w:r w:rsidRPr="00B87D8B">
              <w:t>species</w:t>
            </w:r>
            <w:r>
              <w:t xml:space="preserve"> (</w:t>
            </w:r>
            <w:r w:rsidRPr="00475781">
              <w:rPr>
                <w:lang w:eastAsia="ja-JP"/>
              </w:rPr>
              <w:t>biological</w:t>
            </w:r>
            <w:r>
              <w:rPr>
                <w:lang w:eastAsia="ja-JP"/>
              </w:rPr>
              <w:t>)</w:t>
            </w:r>
          </w:p>
        </w:tc>
        <w:tc>
          <w:tcPr>
            <w:tcW w:w="3491" w:type="pct"/>
          </w:tcPr>
          <w:p w14:paraId="53A3C25D" w14:textId="77777777" w:rsidR="007E1263" w:rsidRPr="00B87D8B" w:rsidRDefault="007E1263" w:rsidP="00475781">
            <w:pPr>
              <w:pStyle w:val="TableText"/>
              <w:rPr>
                <w:lang w:eastAsia="ja-JP"/>
              </w:rPr>
            </w:pPr>
            <w:r w:rsidRPr="00B87D8B">
              <w:t>A group of organisms that resemble each other to a greater degree than members of other groups and that form a reproductively isolated group that will not produce viable offspring if bred with members of another group.</w:t>
            </w:r>
          </w:p>
        </w:tc>
      </w:tr>
      <w:tr w:rsidR="007E1263" w:rsidRPr="00FD6C22" w14:paraId="7B0D176B" w14:textId="77777777" w:rsidTr="00AB1641">
        <w:trPr>
          <w:cantSplit/>
        </w:trPr>
        <w:tc>
          <w:tcPr>
            <w:tcW w:w="1509" w:type="pct"/>
          </w:tcPr>
          <w:p w14:paraId="3C46F106" w14:textId="77777777" w:rsidR="007E1263" w:rsidRPr="00B87D8B" w:rsidRDefault="007E1263" w:rsidP="00811E15">
            <w:pPr>
              <w:pStyle w:val="TableText"/>
              <w:rPr>
                <w:lang w:eastAsia="ja-JP"/>
              </w:rPr>
            </w:pPr>
            <w:r w:rsidRPr="00B87D8B">
              <w:t>SSD</w:t>
            </w:r>
            <w:r>
              <w:t xml:space="preserve"> (</w:t>
            </w:r>
            <w:r w:rsidRPr="00B87D8B">
              <w:t>species sensitivity distribution</w:t>
            </w:r>
            <w:r>
              <w:t>)</w:t>
            </w:r>
          </w:p>
        </w:tc>
        <w:tc>
          <w:tcPr>
            <w:tcW w:w="3491" w:type="pct"/>
          </w:tcPr>
          <w:p w14:paraId="08994588" w14:textId="77777777" w:rsidR="007E1263" w:rsidRPr="00B87D8B" w:rsidRDefault="007E1263" w:rsidP="00836408">
            <w:pPr>
              <w:pStyle w:val="TableText"/>
              <w:rPr>
                <w:lang w:eastAsia="ja-JP"/>
              </w:rPr>
            </w:pPr>
            <w:r>
              <w:rPr>
                <w:lang w:eastAsia="ja-JP"/>
              </w:rPr>
              <w:t>A</w:t>
            </w:r>
            <w:r w:rsidRPr="00836408">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7E1263" w:rsidRPr="00FD6C22" w14:paraId="57C7F1C0" w14:textId="77777777" w:rsidTr="00DE5470">
        <w:trPr>
          <w:cantSplit/>
        </w:trPr>
        <w:tc>
          <w:tcPr>
            <w:tcW w:w="1509" w:type="pct"/>
            <w:tcBorders>
              <w:bottom w:val="single" w:sz="4" w:space="0" w:color="auto"/>
            </w:tcBorders>
          </w:tcPr>
          <w:p w14:paraId="404859BC" w14:textId="77777777" w:rsidR="007E1263" w:rsidRPr="00B87D8B" w:rsidRDefault="007E1263" w:rsidP="00811E15">
            <w:pPr>
              <w:pStyle w:val="TableText"/>
              <w:rPr>
                <w:lang w:eastAsia="ja-JP"/>
              </w:rPr>
            </w:pPr>
            <w:r w:rsidRPr="00B87D8B">
              <w:t>toxicity</w:t>
            </w:r>
          </w:p>
        </w:tc>
        <w:tc>
          <w:tcPr>
            <w:tcW w:w="3491" w:type="pct"/>
            <w:tcBorders>
              <w:bottom w:val="single" w:sz="4" w:space="0" w:color="auto"/>
            </w:tcBorders>
          </w:tcPr>
          <w:p w14:paraId="32A7507F" w14:textId="77777777" w:rsidR="007E1263" w:rsidRPr="00B87D8B" w:rsidRDefault="007E1263" w:rsidP="00B14A96">
            <w:pPr>
              <w:pStyle w:val="TableText"/>
              <w:rPr>
                <w:lang w:eastAsia="ja-JP"/>
              </w:rPr>
            </w:pPr>
            <w:r w:rsidRPr="00B87D8B">
              <w:t>The inherent potential or capacity of a material to cause adverse effects in a living organism.</w:t>
            </w:r>
          </w:p>
        </w:tc>
      </w:tr>
      <w:tr w:rsidR="007E1263" w:rsidRPr="00FD6C22" w14:paraId="614954DF" w14:textId="77777777" w:rsidTr="00A80605">
        <w:trPr>
          <w:cantSplit/>
        </w:trPr>
        <w:tc>
          <w:tcPr>
            <w:tcW w:w="1509" w:type="pct"/>
            <w:tcBorders>
              <w:bottom w:val="single" w:sz="4" w:space="0" w:color="auto"/>
            </w:tcBorders>
          </w:tcPr>
          <w:p w14:paraId="2C9235E2" w14:textId="77777777" w:rsidR="007E1263" w:rsidRPr="00B87D8B" w:rsidRDefault="007E1263" w:rsidP="00811E15">
            <w:pPr>
              <w:pStyle w:val="TableText"/>
              <w:rPr>
                <w:lang w:eastAsia="ja-JP"/>
              </w:rPr>
            </w:pPr>
            <w:r w:rsidRPr="00B87D8B">
              <w:t>toxicity test</w:t>
            </w:r>
          </w:p>
        </w:tc>
        <w:tc>
          <w:tcPr>
            <w:tcW w:w="3491" w:type="pct"/>
            <w:tcBorders>
              <w:bottom w:val="single" w:sz="4" w:space="0" w:color="auto"/>
            </w:tcBorders>
          </w:tcPr>
          <w:p w14:paraId="0029DE7F" w14:textId="77777777" w:rsidR="007E1263" w:rsidRPr="00B87D8B" w:rsidRDefault="007E1263" w:rsidP="00B14A96">
            <w:pPr>
              <w:pStyle w:val="TableText"/>
              <w:rPr>
                <w:lang w:eastAsia="ja-JP"/>
              </w:rPr>
            </w:pPr>
            <w:r w:rsidRPr="00B87D8B">
              <w:t xml:space="preserve">The means by which the toxicity of a chemical or other test material is determined. A toxicity test is used to measure the degree of response produced by exposure to a </w:t>
            </w:r>
            <w:r w:rsidRPr="00B14A96">
              <w:rPr>
                <w:lang w:eastAsia="ja-JP"/>
              </w:rPr>
              <w:t>specific level of stimulus (or concentration of chemical) for a specified test period</w:t>
            </w:r>
            <w:r w:rsidRPr="00B87D8B">
              <w:t xml:space="preserve"> </w:t>
            </w:r>
          </w:p>
        </w:tc>
      </w:tr>
      <w:tr w:rsidR="007E1263" w:rsidRPr="00FD6C22" w14:paraId="32C0705E" w14:textId="77777777" w:rsidTr="00DE5470">
        <w:trPr>
          <w:cantSplit/>
        </w:trPr>
        <w:tc>
          <w:tcPr>
            <w:tcW w:w="1509" w:type="pct"/>
            <w:tcBorders>
              <w:bottom w:val="single" w:sz="12" w:space="0" w:color="auto"/>
            </w:tcBorders>
          </w:tcPr>
          <w:p w14:paraId="5549EBB1" w14:textId="77777777" w:rsidR="007E1263" w:rsidRPr="00B87D8B" w:rsidRDefault="007E1263" w:rsidP="00A80605">
            <w:pPr>
              <w:pStyle w:val="TableText"/>
            </w:pPr>
            <w:r>
              <w:t>unimodal</w:t>
            </w:r>
            <w:r w:rsidRPr="00583A6C">
              <w:t xml:space="preserve"> </w:t>
            </w:r>
          </w:p>
        </w:tc>
        <w:tc>
          <w:tcPr>
            <w:tcW w:w="3491" w:type="pct"/>
            <w:tcBorders>
              <w:bottom w:val="single" w:sz="12" w:space="0" w:color="auto"/>
            </w:tcBorders>
          </w:tcPr>
          <w:p w14:paraId="0FE3D71F" w14:textId="77777777" w:rsidR="007E1263" w:rsidRPr="00B87D8B" w:rsidRDefault="007E1263" w:rsidP="00A80605">
            <w:pPr>
              <w:pStyle w:val="TableText"/>
            </w:pPr>
            <w:r w:rsidRPr="00583A6C">
              <w:t xml:space="preserve">Having one mode of distribution (of the sensitivity of species to a toxicant). </w:t>
            </w:r>
          </w:p>
        </w:tc>
      </w:tr>
    </w:tbl>
    <w:p w14:paraId="64529ADF" w14:textId="77777777" w:rsidR="001303C0" w:rsidRDefault="001303C0" w:rsidP="001303C0">
      <w:pPr>
        <w:rPr>
          <w:highlight w:val="cyan"/>
          <w:lang w:eastAsia="ja-JP"/>
        </w:rPr>
      </w:pPr>
    </w:p>
    <w:p w14:paraId="63936A34" w14:textId="77777777" w:rsidR="00811E15" w:rsidRPr="00FD6C22" w:rsidRDefault="00811E15" w:rsidP="001303C0">
      <w:pPr>
        <w:rPr>
          <w:highlight w:val="cyan"/>
          <w:lang w:eastAsia="ja-JP"/>
        </w:rPr>
      </w:pPr>
    </w:p>
    <w:p w14:paraId="437DA7D6" w14:textId="77777777" w:rsidR="00606A7B" w:rsidRPr="00FD6C22" w:rsidRDefault="00606A7B" w:rsidP="001303C0">
      <w:pPr>
        <w:rPr>
          <w:highlight w:val="cyan"/>
          <w:lang w:eastAsia="ja-JP"/>
        </w:rPr>
        <w:sectPr w:rsidR="00606A7B" w:rsidRPr="00FD6C22" w:rsidSect="00D971E6">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567" w:footer="283" w:gutter="0"/>
          <w:pgNumType w:start="1"/>
          <w:cols w:space="708"/>
          <w:titlePg/>
          <w:docGrid w:linePitch="360"/>
        </w:sectPr>
      </w:pPr>
    </w:p>
    <w:p w14:paraId="2DC47700" w14:textId="56B684DA" w:rsidR="00606A7B" w:rsidRDefault="00E72CC9" w:rsidP="00E72CC9">
      <w:pPr>
        <w:pStyle w:val="Heading2"/>
        <w:numPr>
          <w:ilvl w:val="0"/>
          <w:numId w:val="0"/>
        </w:numPr>
      </w:pPr>
      <w:bookmarkStart w:id="31" w:name="_Ref185510558"/>
      <w:bookmarkStart w:id="32" w:name="_Toc189412384"/>
      <w:r>
        <w:lastRenderedPageBreak/>
        <w:t>Appendix </w:t>
      </w:r>
      <w:r w:rsidR="00D7456C">
        <w:fldChar w:fldCharType="begin"/>
      </w:r>
      <w:r w:rsidR="00D7456C">
        <w:instrText xml:space="preserve"> SEQ Appendix \* ALPHABETIC </w:instrText>
      </w:r>
      <w:r w:rsidR="00D7456C">
        <w:fldChar w:fldCharType="separate"/>
      </w:r>
      <w:r w:rsidR="00E74306">
        <w:rPr>
          <w:noProof/>
        </w:rPr>
        <w:t>A</w:t>
      </w:r>
      <w:r w:rsidR="00D7456C">
        <w:rPr>
          <w:noProof/>
        </w:rPr>
        <w:fldChar w:fldCharType="end"/>
      </w:r>
      <w:bookmarkEnd w:id="31"/>
      <w:r w:rsidR="00811E15" w:rsidRPr="00811E15">
        <w:t>: Toxicity data that passed the screening and quality assessment and were used to derive the default guideline values</w:t>
      </w:r>
      <w:bookmarkEnd w:id="32"/>
    </w:p>
    <w:p w14:paraId="5E1AAEA4" w14:textId="1F17289D" w:rsidR="00292EDE" w:rsidRDefault="0081618E" w:rsidP="0081618E">
      <w:pPr>
        <w:pStyle w:val="Caption"/>
        <w:rPr>
          <w:highlight w:val="cyan"/>
        </w:rPr>
      </w:pPr>
      <w:bookmarkStart w:id="33" w:name="_Toc189412402"/>
      <w:bookmarkStart w:id="34" w:name="_Ref6322314"/>
      <w:bookmarkStart w:id="35" w:name="_Toc528223079"/>
      <w:r>
        <w:t>Table A </w:t>
      </w:r>
      <w:r w:rsidR="00D7456C">
        <w:fldChar w:fldCharType="begin"/>
      </w:r>
      <w:r w:rsidR="00D7456C">
        <w:instrText xml:space="preserve"> SEQ Table_A \* ARABIC </w:instrText>
      </w:r>
      <w:r w:rsidR="00D7456C">
        <w:fldChar w:fldCharType="separate"/>
      </w:r>
      <w:r w:rsidR="00E74306">
        <w:rPr>
          <w:noProof/>
        </w:rPr>
        <w:t>1</w:t>
      </w:r>
      <w:r w:rsidR="00D7456C">
        <w:rPr>
          <w:noProof/>
        </w:rPr>
        <w:fldChar w:fldCharType="end"/>
      </w:r>
      <w:r w:rsidR="00811E15" w:rsidRPr="00811E15">
        <w:t xml:space="preserve"> Summary</w:t>
      </w:r>
      <w:r w:rsidR="005F1CC1">
        <w:t>,</w:t>
      </w:r>
      <w:r w:rsidR="00811E15" w:rsidRPr="00811E15">
        <w:t xml:space="preserve"> toxicity data that passed the screening and quality assurance processes</w:t>
      </w:r>
      <w:r w:rsidR="005F1CC1">
        <w:t xml:space="preserve">, </w:t>
      </w:r>
      <w:r w:rsidR="005F1CC1" w:rsidRPr="00811E15">
        <w:t>simazine in marine water</w:t>
      </w:r>
      <w:bookmarkEnd w:id="33"/>
    </w:p>
    <w:tbl>
      <w:tblPr>
        <w:tblW w:w="14629" w:type="dxa"/>
        <w:tblInd w:w="5" w:type="dxa"/>
        <w:tblBorders>
          <w:top w:val="single" w:sz="4" w:space="0" w:color="auto"/>
          <w:bottom w:val="single" w:sz="4" w:space="0" w:color="auto"/>
          <w:insideH w:val="single" w:sz="4" w:space="0" w:color="auto"/>
        </w:tblBorders>
        <w:tblLayout w:type="fixed"/>
        <w:tblLook w:val="0420" w:firstRow="1" w:lastRow="0" w:firstColumn="0" w:lastColumn="0" w:noHBand="0" w:noVBand="1"/>
        <w:tblCaption w:val="Summary, toxicity data that passed the screening and quality assurance processes, simazine in marine water"/>
        <w:tblDescription w:val="Table lists 14 species with their taxonomic group. The different life stages for each species are provided with the following test information: exposure duration (days), test type, toxicity measure, test medium, temperature (degrees Celcius), concentration (microgram per litre) and reference."/>
      </w:tblPr>
      <w:tblGrid>
        <w:gridCol w:w="1555"/>
        <w:gridCol w:w="1417"/>
        <w:gridCol w:w="1276"/>
        <w:gridCol w:w="992"/>
        <w:gridCol w:w="851"/>
        <w:gridCol w:w="1701"/>
        <w:gridCol w:w="1984"/>
        <w:gridCol w:w="992"/>
        <w:gridCol w:w="851"/>
        <w:gridCol w:w="1417"/>
        <w:gridCol w:w="1593"/>
      </w:tblGrid>
      <w:tr w:rsidR="009B2E2F" w:rsidRPr="00584D9D" w14:paraId="10DD9BB4" w14:textId="77777777" w:rsidTr="00A619EB">
        <w:trPr>
          <w:cantSplit/>
          <w:tblHeader/>
        </w:trPr>
        <w:tc>
          <w:tcPr>
            <w:tcW w:w="1555" w:type="dxa"/>
            <w:tcBorders>
              <w:top w:val="single" w:sz="12" w:space="0" w:color="auto"/>
              <w:bottom w:val="single" w:sz="12" w:space="0" w:color="auto"/>
            </w:tcBorders>
            <w:shd w:val="clear" w:color="auto" w:fill="auto"/>
            <w:vAlign w:val="center"/>
          </w:tcPr>
          <w:p w14:paraId="683EFFC4" w14:textId="0404E24C" w:rsidR="009B2E2F" w:rsidRPr="00584D9D" w:rsidRDefault="009B2E2F" w:rsidP="00D55BA4">
            <w:pPr>
              <w:pStyle w:val="TableHeading"/>
            </w:pPr>
            <w:r>
              <w:t>Taxonomic group</w:t>
            </w:r>
          </w:p>
        </w:tc>
        <w:tc>
          <w:tcPr>
            <w:tcW w:w="1417" w:type="dxa"/>
            <w:tcBorders>
              <w:top w:val="single" w:sz="12" w:space="0" w:color="auto"/>
              <w:bottom w:val="single" w:sz="12" w:space="0" w:color="auto"/>
            </w:tcBorders>
            <w:shd w:val="clear" w:color="auto" w:fill="auto"/>
            <w:vAlign w:val="center"/>
          </w:tcPr>
          <w:p w14:paraId="53E6DE10" w14:textId="77777777" w:rsidR="009B2E2F" w:rsidRPr="00584D9D" w:rsidRDefault="009B2E2F" w:rsidP="00D55BA4">
            <w:pPr>
              <w:pStyle w:val="TableHeading"/>
            </w:pPr>
            <w:r w:rsidRPr="00584D9D">
              <w:t>Species</w:t>
            </w:r>
          </w:p>
        </w:tc>
        <w:tc>
          <w:tcPr>
            <w:tcW w:w="1276" w:type="dxa"/>
            <w:tcBorders>
              <w:top w:val="single" w:sz="12" w:space="0" w:color="auto"/>
              <w:bottom w:val="single" w:sz="12" w:space="0" w:color="auto"/>
            </w:tcBorders>
            <w:shd w:val="clear" w:color="auto" w:fill="auto"/>
            <w:vAlign w:val="center"/>
          </w:tcPr>
          <w:p w14:paraId="5AE2002D" w14:textId="77777777" w:rsidR="009B2E2F" w:rsidRPr="00584D9D" w:rsidRDefault="009B2E2F" w:rsidP="00D55BA4">
            <w:pPr>
              <w:pStyle w:val="TableHeading"/>
            </w:pPr>
            <w:r w:rsidRPr="00584D9D">
              <w:t>Life stage</w:t>
            </w:r>
          </w:p>
        </w:tc>
        <w:tc>
          <w:tcPr>
            <w:tcW w:w="992" w:type="dxa"/>
            <w:tcBorders>
              <w:top w:val="single" w:sz="12" w:space="0" w:color="auto"/>
              <w:bottom w:val="single" w:sz="12" w:space="0" w:color="auto"/>
            </w:tcBorders>
            <w:shd w:val="clear" w:color="auto" w:fill="auto"/>
            <w:vAlign w:val="center"/>
          </w:tcPr>
          <w:p w14:paraId="2B2D9B8F" w14:textId="1566B5FB" w:rsidR="009B2E2F" w:rsidRPr="00584D9D" w:rsidRDefault="009B2E2F" w:rsidP="00D55BA4">
            <w:pPr>
              <w:pStyle w:val="TableHeading"/>
            </w:pPr>
            <w:r w:rsidRPr="00584D9D">
              <w:t>Exposure duration (day)</w:t>
            </w:r>
          </w:p>
        </w:tc>
        <w:tc>
          <w:tcPr>
            <w:tcW w:w="851" w:type="dxa"/>
            <w:tcBorders>
              <w:top w:val="single" w:sz="12" w:space="0" w:color="auto"/>
              <w:bottom w:val="single" w:sz="12" w:space="0" w:color="auto"/>
            </w:tcBorders>
            <w:shd w:val="clear" w:color="auto" w:fill="auto"/>
            <w:vAlign w:val="center"/>
          </w:tcPr>
          <w:p w14:paraId="0FB5954B" w14:textId="77777777" w:rsidR="009B2E2F" w:rsidRPr="00584D9D" w:rsidRDefault="009B2E2F" w:rsidP="00D55BA4">
            <w:pPr>
              <w:pStyle w:val="TableHeading"/>
            </w:pPr>
            <w:r w:rsidRPr="00584D9D">
              <w:t>Test type</w:t>
            </w:r>
          </w:p>
        </w:tc>
        <w:tc>
          <w:tcPr>
            <w:tcW w:w="1701" w:type="dxa"/>
            <w:tcBorders>
              <w:top w:val="single" w:sz="12" w:space="0" w:color="auto"/>
              <w:bottom w:val="single" w:sz="12" w:space="0" w:color="auto"/>
            </w:tcBorders>
            <w:shd w:val="clear" w:color="auto" w:fill="auto"/>
            <w:vAlign w:val="center"/>
          </w:tcPr>
          <w:p w14:paraId="442D17A4" w14:textId="22BD4E03" w:rsidR="009B2E2F" w:rsidRPr="00584D9D" w:rsidRDefault="009B2E2F" w:rsidP="00D55BA4">
            <w:pPr>
              <w:pStyle w:val="TableHeading"/>
            </w:pPr>
            <w:r w:rsidRPr="00584D9D">
              <w:t>Toxicity measure (test endpoint)</w:t>
            </w:r>
          </w:p>
        </w:tc>
        <w:tc>
          <w:tcPr>
            <w:tcW w:w="1984" w:type="dxa"/>
            <w:tcBorders>
              <w:top w:val="single" w:sz="12" w:space="0" w:color="auto"/>
              <w:bottom w:val="single" w:sz="12" w:space="0" w:color="auto"/>
            </w:tcBorders>
            <w:shd w:val="clear" w:color="auto" w:fill="auto"/>
            <w:vAlign w:val="center"/>
          </w:tcPr>
          <w:p w14:paraId="10F0CDAA" w14:textId="77777777" w:rsidR="009B2E2F" w:rsidRPr="00584D9D" w:rsidRDefault="009B2E2F" w:rsidP="00D55BA4">
            <w:pPr>
              <w:pStyle w:val="TableHeading"/>
            </w:pPr>
            <w:r w:rsidRPr="00584D9D">
              <w:t>Test medium</w:t>
            </w:r>
          </w:p>
        </w:tc>
        <w:tc>
          <w:tcPr>
            <w:tcW w:w="992" w:type="dxa"/>
            <w:tcBorders>
              <w:top w:val="single" w:sz="12" w:space="0" w:color="auto"/>
              <w:bottom w:val="single" w:sz="12" w:space="0" w:color="auto"/>
            </w:tcBorders>
            <w:shd w:val="clear" w:color="auto" w:fill="auto"/>
            <w:vAlign w:val="center"/>
          </w:tcPr>
          <w:p w14:paraId="010EB97F" w14:textId="77777777" w:rsidR="009B2E2F" w:rsidRPr="00584D9D" w:rsidRDefault="009B2E2F" w:rsidP="00D55BA4">
            <w:pPr>
              <w:pStyle w:val="TableHeading"/>
            </w:pPr>
            <w:r w:rsidRPr="00584D9D">
              <w:t>Temp. (°C)</w:t>
            </w:r>
          </w:p>
        </w:tc>
        <w:tc>
          <w:tcPr>
            <w:tcW w:w="851" w:type="dxa"/>
            <w:tcBorders>
              <w:top w:val="single" w:sz="12" w:space="0" w:color="auto"/>
              <w:bottom w:val="single" w:sz="12" w:space="0" w:color="auto"/>
            </w:tcBorders>
            <w:shd w:val="clear" w:color="auto" w:fill="auto"/>
            <w:vAlign w:val="center"/>
          </w:tcPr>
          <w:p w14:paraId="2CEEDC3C" w14:textId="77777777" w:rsidR="009B2E2F" w:rsidRPr="00584D9D" w:rsidRDefault="009B2E2F" w:rsidP="00D55BA4">
            <w:pPr>
              <w:pStyle w:val="TableHeading"/>
            </w:pPr>
            <w:r w:rsidRPr="00584D9D">
              <w:t>pH</w:t>
            </w:r>
          </w:p>
        </w:tc>
        <w:tc>
          <w:tcPr>
            <w:tcW w:w="1417" w:type="dxa"/>
            <w:tcBorders>
              <w:top w:val="single" w:sz="12" w:space="0" w:color="auto"/>
              <w:bottom w:val="single" w:sz="12" w:space="0" w:color="auto"/>
            </w:tcBorders>
            <w:shd w:val="clear" w:color="auto" w:fill="auto"/>
            <w:vAlign w:val="center"/>
          </w:tcPr>
          <w:p w14:paraId="6283ABE2" w14:textId="77777777" w:rsidR="009B2E2F" w:rsidRPr="00584D9D" w:rsidRDefault="009B2E2F" w:rsidP="00D55BA4">
            <w:pPr>
              <w:pStyle w:val="TableHeading"/>
            </w:pPr>
            <w:r w:rsidRPr="00584D9D">
              <w:t>Concentration (µg/L)</w:t>
            </w:r>
          </w:p>
        </w:tc>
        <w:tc>
          <w:tcPr>
            <w:tcW w:w="1593" w:type="dxa"/>
            <w:tcBorders>
              <w:top w:val="single" w:sz="12" w:space="0" w:color="auto"/>
              <w:bottom w:val="single" w:sz="12" w:space="0" w:color="auto"/>
            </w:tcBorders>
            <w:shd w:val="clear" w:color="auto" w:fill="auto"/>
            <w:vAlign w:val="center"/>
          </w:tcPr>
          <w:p w14:paraId="7065EA62" w14:textId="77777777" w:rsidR="009B2E2F" w:rsidRPr="00584D9D" w:rsidRDefault="009B2E2F" w:rsidP="00D55BA4">
            <w:pPr>
              <w:pStyle w:val="TableHeading"/>
            </w:pPr>
            <w:r w:rsidRPr="00584D9D">
              <w:t>Reference</w:t>
            </w:r>
          </w:p>
        </w:tc>
      </w:tr>
      <w:tr w:rsidR="009B2E2F" w:rsidRPr="00584D9D" w14:paraId="4E27B092" w14:textId="77777777" w:rsidTr="00A619EB">
        <w:trPr>
          <w:cantSplit/>
        </w:trPr>
        <w:tc>
          <w:tcPr>
            <w:tcW w:w="1555" w:type="dxa"/>
            <w:tcBorders>
              <w:bottom w:val="nil"/>
            </w:tcBorders>
            <w:shd w:val="clear" w:color="auto" w:fill="auto"/>
            <w:vAlign w:val="center"/>
          </w:tcPr>
          <w:p w14:paraId="53B780AE" w14:textId="20309440" w:rsidR="009B2E2F" w:rsidRPr="00584D9D" w:rsidRDefault="009B2E2F" w:rsidP="00D55BA4">
            <w:pPr>
              <w:pStyle w:val="TableText"/>
            </w:pPr>
            <w:r>
              <w:t>Crustacean</w:t>
            </w:r>
            <w:r w:rsidDel="005826A2">
              <w:t xml:space="preserve"> </w:t>
            </w:r>
            <w:r>
              <w:t>(Arthropoda)</w:t>
            </w:r>
          </w:p>
        </w:tc>
        <w:tc>
          <w:tcPr>
            <w:tcW w:w="1417" w:type="dxa"/>
            <w:tcBorders>
              <w:bottom w:val="nil"/>
            </w:tcBorders>
            <w:shd w:val="clear" w:color="auto" w:fill="auto"/>
            <w:vAlign w:val="center"/>
          </w:tcPr>
          <w:p w14:paraId="41D07C43" w14:textId="12B68A0E" w:rsidR="009B2E2F" w:rsidRPr="00584D9D" w:rsidRDefault="009B2E2F" w:rsidP="00D55BA4">
            <w:pPr>
              <w:pStyle w:val="TableText"/>
            </w:pPr>
            <w:proofErr w:type="spellStart"/>
            <w:r w:rsidRPr="00AA670A">
              <w:rPr>
                <w:i/>
                <w:iCs/>
              </w:rPr>
              <w:t>Neopanope</w:t>
            </w:r>
            <w:proofErr w:type="spellEnd"/>
            <w:r w:rsidRPr="00AA670A">
              <w:rPr>
                <w:i/>
                <w:iCs/>
              </w:rPr>
              <w:t xml:space="preserve"> texana</w:t>
            </w:r>
          </w:p>
        </w:tc>
        <w:tc>
          <w:tcPr>
            <w:tcW w:w="1276" w:type="dxa"/>
            <w:tcBorders>
              <w:bottom w:val="nil"/>
            </w:tcBorders>
            <w:shd w:val="clear" w:color="auto" w:fill="auto"/>
            <w:vAlign w:val="center"/>
          </w:tcPr>
          <w:p w14:paraId="763BE323" w14:textId="0B5E6D61" w:rsidR="009B2E2F" w:rsidRPr="00584D9D" w:rsidRDefault="009B2E2F" w:rsidP="00D55BA4">
            <w:pPr>
              <w:pStyle w:val="TableText"/>
            </w:pPr>
            <w:r>
              <w:t>–</w:t>
            </w:r>
          </w:p>
        </w:tc>
        <w:tc>
          <w:tcPr>
            <w:tcW w:w="992" w:type="dxa"/>
            <w:tcBorders>
              <w:bottom w:val="nil"/>
            </w:tcBorders>
            <w:shd w:val="clear" w:color="auto" w:fill="auto"/>
            <w:vAlign w:val="center"/>
          </w:tcPr>
          <w:p w14:paraId="7285BCE2" w14:textId="77777777" w:rsidR="009B2E2F" w:rsidRPr="00584D9D" w:rsidRDefault="009B2E2F" w:rsidP="00D55BA4">
            <w:pPr>
              <w:pStyle w:val="TableText"/>
            </w:pPr>
            <w:r>
              <w:t>4</w:t>
            </w:r>
          </w:p>
        </w:tc>
        <w:tc>
          <w:tcPr>
            <w:tcW w:w="851" w:type="dxa"/>
            <w:tcBorders>
              <w:bottom w:val="nil"/>
            </w:tcBorders>
            <w:shd w:val="clear" w:color="auto" w:fill="auto"/>
            <w:vAlign w:val="center"/>
          </w:tcPr>
          <w:p w14:paraId="0FAC1E05" w14:textId="77777777" w:rsidR="009B2E2F" w:rsidRPr="00584D9D" w:rsidRDefault="009B2E2F" w:rsidP="00D55BA4">
            <w:pPr>
              <w:pStyle w:val="TableText"/>
            </w:pPr>
            <w:r>
              <w:t>Acute</w:t>
            </w:r>
          </w:p>
        </w:tc>
        <w:tc>
          <w:tcPr>
            <w:tcW w:w="1701" w:type="dxa"/>
            <w:tcBorders>
              <w:bottom w:val="nil"/>
            </w:tcBorders>
            <w:shd w:val="clear" w:color="auto" w:fill="auto"/>
            <w:vAlign w:val="center"/>
          </w:tcPr>
          <w:p w14:paraId="5908594A" w14:textId="6E352BDA" w:rsidR="009B2E2F" w:rsidRPr="00584D9D" w:rsidRDefault="009B2E2F" w:rsidP="002626BA">
            <w:pPr>
              <w:pStyle w:val="TableText"/>
            </w:pPr>
            <w:r>
              <w:t>LC50</w:t>
            </w:r>
            <w:r w:rsidR="002626BA">
              <w:t xml:space="preserve"> </w:t>
            </w:r>
            <w:r>
              <w:t>(Mortality)</w:t>
            </w:r>
          </w:p>
        </w:tc>
        <w:tc>
          <w:tcPr>
            <w:tcW w:w="1984" w:type="dxa"/>
            <w:tcBorders>
              <w:bottom w:val="nil"/>
            </w:tcBorders>
            <w:shd w:val="clear" w:color="auto" w:fill="auto"/>
            <w:vAlign w:val="center"/>
          </w:tcPr>
          <w:p w14:paraId="305663EB" w14:textId="77777777" w:rsidR="009B2E2F" w:rsidRPr="00584D9D" w:rsidRDefault="009B2E2F" w:rsidP="00D55BA4">
            <w:pPr>
              <w:pStyle w:val="TableText"/>
            </w:pPr>
            <w:r w:rsidRPr="00B653CD">
              <w:t>Natural filtered or artificial seawater</w:t>
            </w:r>
          </w:p>
        </w:tc>
        <w:tc>
          <w:tcPr>
            <w:tcW w:w="992" w:type="dxa"/>
            <w:tcBorders>
              <w:bottom w:val="nil"/>
            </w:tcBorders>
            <w:shd w:val="clear" w:color="auto" w:fill="auto"/>
            <w:vAlign w:val="center"/>
          </w:tcPr>
          <w:p w14:paraId="7D4407C2" w14:textId="77777777" w:rsidR="009B2E2F" w:rsidRPr="00584D9D" w:rsidRDefault="009B2E2F" w:rsidP="00D55BA4">
            <w:pPr>
              <w:pStyle w:val="TableText"/>
            </w:pPr>
            <w:r w:rsidRPr="00B653CD">
              <w:t>23 ± 1</w:t>
            </w:r>
          </w:p>
        </w:tc>
        <w:tc>
          <w:tcPr>
            <w:tcW w:w="851" w:type="dxa"/>
            <w:tcBorders>
              <w:bottom w:val="nil"/>
            </w:tcBorders>
            <w:shd w:val="clear" w:color="auto" w:fill="auto"/>
            <w:vAlign w:val="center"/>
          </w:tcPr>
          <w:p w14:paraId="35EA9211" w14:textId="3551CD1E" w:rsidR="009B2E2F" w:rsidRPr="00584D9D" w:rsidRDefault="009B2E2F" w:rsidP="00D55BA4">
            <w:pPr>
              <w:pStyle w:val="TableText"/>
            </w:pPr>
            <w:r>
              <w:t>–</w:t>
            </w:r>
          </w:p>
        </w:tc>
        <w:tc>
          <w:tcPr>
            <w:tcW w:w="1417" w:type="dxa"/>
            <w:shd w:val="clear" w:color="auto" w:fill="auto"/>
            <w:vAlign w:val="center"/>
          </w:tcPr>
          <w:p w14:paraId="02F261EF" w14:textId="71CF0B34" w:rsidR="009B2E2F" w:rsidRPr="00902EFA" w:rsidRDefault="009B2E2F" w:rsidP="00D55BA4">
            <w:pPr>
              <w:pStyle w:val="TableText"/>
            </w:pPr>
            <w:r w:rsidRPr="00902EFA">
              <w:t>1 000 000</w:t>
            </w:r>
          </w:p>
        </w:tc>
        <w:tc>
          <w:tcPr>
            <w:tcW w:w="1593" w:type="dxa"/>
            <w:shd w:val="clear" w:color="auto" w:fill="auto"/>
            <w:vAlign w:val="center"/>
          </w:tcPr>
          <w:p w14:paraId="27A3B371" w14:textId="72C864FD" w:rsidR="009B2E2F" w:rsidRPr="00584D9D" w:rsidRDefault="009B2E2F" w:rsidP="00D55BA4">
            <w:pPr>
              <w:pStyle w:val="TableText"/>
            </w:pPr>
            <w:bookmarkStart w:id="36" w:name="_Hlk88487331"/>
            <w:r>
              <w:t>USEPA (2015)</w:t>
            </w:r>
            <w:bookmarkEnd w:id="36"/>
          </w:p>
        </w:tc>
      </w:tr>
      <w:tr w:rsidR="0050195B" w:rsidRPr="00584D9D" w14:paraId="2753B6D5" w14:textId="77777777" w:rsidTr="001A59DD">
        <w:trPr>
          <w:cantSplit/>
        </w:trPr>
        <w:tc>
          <w:tcPr>
            <w:tcW w:w="11619" w:type="dxa"/>
            <w:gridSpan w:val="9"/>
            <w:tcBorders>
              <w:top w:val="nil"/>
              <w:bottom w:val="single" w:sz="4" w:space="0" w:color="auto"/>
            </w:tcBorders>
            <w:shd w:val="clear" w:color="auto" w:fill="auto"/>
            <w:vAlign w:val="center"/>
          </w:tcPr>
          <w:p w14:paraId="1F6BDCBD" w14:textId="69967BD8" w:rsidR="0050195B" w:rsidRPr="00584D9D" w:rsidRDefault="0050195B" w:rsidP="00D55BA4">
            <w:pPr>
              <w:pStyle w:val="TableText"/>
            </w:pPr>
            <w:r>
              <w:t>–</w:t>
            </w:r>
          </w:p>
        </w:tc>
        <w:tc>
          <w:tcPr>
            <w:tcW w:w="1417" w:type="dxa"/>
            <w:shd w:val="clear" w:color="auto" w:fill="auto"/>
            <w:vAlign w:val="center"/>
          </w:tcPr>
          <w:p w14:paraId="08000193" w14:textId="7482C00C" w:rsidR="0050195B" w:rsidRPr="00902EFA" w:rsidRDefault="0050195B" w:rsidP="00D55BA4">
            <w:pPr>
              <w:pStyle w:val="TableText"/>
            </w:pPr>
            <w:r w:rsidRPr="00902EFA">
              <w:t xml:space="preserve">100 000 </w:t>
            </w:r>
            <w:r w:rsidRPr="0088293D">
              <w:rPr>
                <w:rStyle w:val="Strong"/>
                <w:vertAlign w:val="superscript"/>
              </w:rPr>
              <w:t>b</w:t>
            </w:r>
          </w:p>
        </w:tc>
        <w:tc>
          <w:tcPr>
            <w:tcW w:w="1593" w:type="dxa"/>
            <w:shd w:val="clear" w:color="auto" w:fill="auto"/>
            <w:vAlign w:val="center"/>
          </w:tcPr>
          <w:p w14:paraId="03491FC0" w14:textId="77F1EE9E" w:rsidR="0050195B" w:rsidRPr="00584D9D" w:rsidRDefault="0050195B" w:rsidP="00D55BA4">
            <w:pPr>
              <w:pStyle w:val="TableText"/>
            </w:pPr>
            <w:r w:rsidRPr="00584D9D">
              <w:rPr>
                <w:b/>
              </w:rPr>
              <w:t>Value used in SSD</w:t>
            </w:r>
          </w:p>
        </w:tc>
      </w:tr>
      <w:tr w:rsidR="009B2E2F" w:rsidRPr="00584D9D" w14:paraId="076A6380" w14:textId="77777777" w:rsidTr="00A619EB">
        <w:trPr>
          <w:cantSplit/>
        </w:trPr>
        <w:tc>
          <w:tcPr>
            <w:tcW w:w="1555" w:type="dxa"/>
            <w:tcBorders>
              <w:bottom w:val="nil"/>
            </w:tcBorders>
            <w:shd w:val="clear" w:color="auto" w:fill="auto"/>
            <w:vAlign w:val="center"/>
          </w:tcPr>
          <w:p w14:paraId="1602774A" w14:textId="2225BC01" w:rsidR="009B2E2F" w:rsidRPr="00584D9D" w:rsidRDefault="009B2E2F" w:rsidP="00D55BA4">
            <w:pPr>
              <w:pStyle w:val="TableText"/>
            </w:pPr>
            <w:r>
              <w:t>Crustacean (Arthropoda)</w:t>
            </w:r>
          </w:p>
        </w:tc>
        <w:tc>
          <w:tcPr>
            <w:tcW w:w="1417" w:type="dxa"/>
            <w:tcBorders>
              <w:bottom w:val="nil"/>
            </w:tcBorders>
            <w:shd w:val="clear" w:color="auto" w:fill="auto"/>
            <w:vAlign w:val="center"/>
          </w:tcPr>
          <w:p w14:paraId="77A7226D" w14:textId="2E153926" w:rsidR="009B2E2F" w:rsidRPr="00584D9D" w:rsidRDefault="009B2E2F" w:rsidP="00D55BA4">
            <w:pPr>
              <w:pStyle w:val="TableText"/>
            </w:pPr>
            <w:proofErr w:type="spellStart"/>
            <w:r w:rsidRPr="00AA670A">
              <w:rPr>
                <w:i/>
                <w:iCs/>
              </w:rPr>
              <w:t>Palaemonetes</w:t>
            </w:r>
            <w:proofErr w:type="spellEnd"/>
            <w:r w:rsidRPr="00AA670A">
              <w:rPr>
                <w:i/>
                <w:iCs/>
              </w:rPr>
              <w:t xml:space="preserve"> </w:t>
            </w:r>
            <w:proofErr w:type="spellStart"/>
            <w:r w:rsidRPr="00AA670A">
              <w:rPr>
                <w:i/>
                <w:iCs/>
              </w:rPr>
              <w:t>kadiakensis</w:t>
            </w:r>
            <w:proofErr w:type="spellEnd"/>
          </w:p>
        </w:tc>
        <w:tc>
          <w:tcPr>
            <w:tcW w:w="1276" w:type="dxa"/>
            <w:tcBorders>
              <w:bottom w:val="nil"/>
            </w:tcBorders>
            <w:shd w:val="clear" w:color="auto" w:fill="auto"/>
            <w:vAlign w:val="center"/>
          </w:tcPr>
          <w:p w14:paraId="61E0B9EA" w14:textId="757C1FE5" w:rsidR="009B2E2F" w:rsidRPr="00584D9D" w:rsidRDefault="009B2E2F" w:rsidP="00D55BA4">
            <w:pPr>
              <w:pStyle w:val="TableText"/>
            </w:pPr>
            <w:r>
              <w:t>–</w:t>
            </w:r>
          </w:p>
        </w:tc>
        <w:tc>
          <w:tcPr>
            <w:tcW w:w="992" w:type="dxa"/>
            <w:tcBorders>
              <w:bottom w:val="nil"/>
            </w:tcBorders>
            <w:shd w:val="clear" w:color="auto" w:fill="auto"/>
            <w:vAlign w:val="center"/>
          </w:tcPr>
          <w:p w14:paraId="05492BD7" w14:textId="77777777" w:rsidR="009B2E2F" w:rsidRPr="00584D9D" w:rsidRDefault="009B2E2F" w:rsidP="00D55BA4">
            <w:pPr>
              <w:pStyle w:val="TableText"/>
            </w:pPr>
            <w:r>
              <w:t>2</w:t>
            </w:r>
          </w:p>
        </w:tc>
        <w:tc>
          <w:tcPr>
            <w:tcW w:w="851" w:type="dxa"/>
            <w:tcBorders>
              <w:bottom w:val="nil"/>
            </w:tcBorders>
            <w:shd w:val="clear" w:color="auto" w:fill="auto"/>
            <w:vAlign w:val="center"/>
          </w:tcPr>
          <w:p w14:paraId="632384CF" w14:textId="77777777" w:rsidR="009B2E2F" w:rsidRPr="00584D9D" w:rsidRDefault="009B2E2F" w:rsidP="00D55BA4">
            <w:pPr>
              <w:pStyle w:val="TableText"/>
            </w:pPr>
            <w:r>
              <w:t>Acute</w:t>
            </w:r>
          </w:p>
        </w:tc>
        <w:tc>
          <w:tcPr>
            <w:tcW w:w="1701" w:type="dxa"/>
            <w:tcBorders>
              <w:bottom w:val="nil"/>
            </w:tcBorders>
            <w:shd w:val="clear" w:color="auto" w:fill="auto"/>
            <w:vAlign w:val="center"/>
          </w:tcPr>
          <w:p w14:paraId="64AAF1C2" w14:textId="1E56CB08" w:rsidR="009B2E2F" w:rsidRPr="00584D9D" w:rsidRDefault="009B2E2F" w:rsidP="002626BA">
            <w:pPr>
              <w:pStyle w:val="TableText"/>
            </w:pPr>
            <w:r>
              <w:t>LC50</w:t>
            </w:r>
            <w:r w:rsidR="002626BA">
              <w:t xml:space="preserve"> </w:t>
            </w:r>
            <w:r>
              <w:t>(Mortality)</w:t>
            </w:r>
          </w:p>
        </w:tc>
        <w:tc>
          <w:tcPr>
            <w:tcW w:w="1984" w:type="dxa"/>
            <w:tcBorders>
              <w:bottom w:val="nil"/>
            </w:tcBorders>
            <w:shd w:val="clear" w:color="auto" w:fill="auto"/>
            <w:vAlign w:val="center"/>
          </w:tcPr>
          <w:p w14:paraId="0D098349" w14:textId="77777777" w:rsidR="009B2E2F" w:rsidRPr="00584D9D" w:rsidRDefault="009B2E2F" w:rsidP="00D55BA4">
            <w:pPr>
              <w:pStyle w:val="TableText"/>
            </w:pPr>
            <w:r w:rsidRPr="00B653CD">
              <w:t>Natural filtered or artificial seawater</w:t>
            </w:r>
          </w:p>
        </w:tc>
        <w:tc>
          <w:tcPr>
            <w:tcW w:w="992" w:type="dxa"/>
            <w:tcBorders>
              <w:bottom w:val="nil"/>
            </w:tcBorders>
            <w:shd w:val="clear" w:color="auto" w:fill="auto"/>
            <w:vAlign w:val="center"/>
          </w:tcPr>
          <w:p w14:paraId="40FE38E6" w14:textId="77777777" w:rsidR="009B2E2F" w:rsidRPr="00584D9D" w:rsidRDefault="009B2E2F" w:rsidP="00D55BA4">
            <w:pPr>
              <w:pStyle w:val="TableText"/>
            </w:pPr>
            <w:r w:rsidRPr="00B653CD">
              <w:t>23 ± 1</w:t>
            </w:r>
          </w:p>
        </w:tc>
        <w:tc>
          <w:tcPr>
            <w:tcW w:w="851" w:type="dxa"/>
            <w:tcBorders>
              <w:bottom w:val="nil"/>
            </w:tcBorders>
            <w:shd w:val="clear" w:color="auto" w:fill="auto"/>
            <w:vAlign w:val="center"/>
          </w:tcPr>
          <w:p w14:paraId="73D99DED" w14:textId="0F359428" w:rsidR="009B2E2F" w:rsidRPr="00584D9D" w:rsidRDefault="009B2E2F" w:rsidP="00D55BA4">
            <w:pPr>
              <w:pStyle w:val="TableText"/>
            </w:pPr>
            <w:r>
              <w:t>–</w:t>
            </w:r>
          </w:p>
        </w:tc>
        <w:tc>
          <w:tcPr>
            <w:tcW w:w="1417" w:type="dxa"/>
            <w:shd w:val="clear" w:color="auto" w:fill="auto"/>
            <w:vAlign w:val="center"/>
          </w:tcPr>
          <w:p w14:paraId="7E8C8D26" w14:textId="63616B93" w:rsidR="009B2E2F" w:rsidRPr="00902EFA" w:rsidRDefault="009B2E2F" w:rsidP="00D55BA4">
            <w:pPr>
              <w:pStyle w:val="TableText"/>
            </w:pPr>
            <w:r w:rsidRPr="00902EFA">
              <w:t>100 000</w:t>
            </w:r>
          </w:p>
        </w:tc>
        <w:tc>
          <w:tcPr>
            <w:tcW w:w="1593" w:type="dxa"/>
            <w:shd w:val="clear" w:color="auto" w:fill="auto"/>
            <w:vAlign w:val="center"/>
          </w:tcPr>
          <w:p w14:paraId="710FD4FA" w14:textId="7AF9D5AB" w:rsidR="009B2E2F" w:rsidRPr="00584D9D" w:rsidRDefault="009B2E2F" w:rsidP="00D55BA4">
            <w:pPr>
              <w:pStyle w:val="TableText"/>
            </w:pPr>
            <w:r>
              <w:t>USEPA (2015)</w:t>
            </w:r>
          </w:p>
        </w:tc>
      </w:tr>
      <w:tr w:rsidR="0050195B" w:rsidRPr="00584D9D" w14:paraId="490D71A0" w14:textId="77777777" w:rsidTr="001A59DD">
        <w:trPr>
          <w:cantSplit/>
        </w:trPr>
        <w:tc>
          <w:tcPr>
            <w:tcW w:w="11619" w:type="dxa"/>
            <w:gridSpan w:val="9"/>
            <w:tcBorders>
              <w:top w:val="nil"/>
              <w:bottom w:val="single" w:sz="4" w:space="0" w:color="auto"/>
            </w:tcBorders>
            <w:shd w:val="clear" w:color="auto" w:fill="auto"/>
            <w:vAlign w:val="center"/>
          </w:tcPr>
          <w:p w14:paraId="4CCD7CBC" w14:textId="12CC360C" w:rsidR="0050195B" w:rsidRPr="00584D9D" w:rsidRDefault="0050195B" w:rsidP="00D55BA4">
            <w:pPr>
              <w:pStyle w:val="TableText"/>
            </w:pPr>
            <w:r>
              <w:t>–</w:t>
            </w:r>
          </w:p>
        </w:tc>
        <w:tc>
          <w:tcPr>
            <w:tcW w:w="1417" w:type="dxa"/>
            <w:shd w:val="clear" w:color="auto" w:fill="auto"/>
            <w:vAlign w:val="center"/>
          </w:tcPr>
          <w:p w14:paraId="023718CF" w14:textId="62335624" w:rsidR="0050195B" w:rsidRPr="00902EFA" w:rsidRDefault="0050195B" w:rsidP="00D55BA4">
            <w:pPr>
              <w:pStyle w:val="TableText"/>
            </w:pPr>
            <w:r w:rsidRPr="00902EFA">
              <w:t xml:space="preserve">10 000 </w:t>
            </w:r>
            <w:r w:rsidRPr="0088293D">
              <w:rPr>
                <w:rStyle w:val="Strong"/>
                <w:vertAlign w:val="superscript"/>
              </w:rPr>
              <w:t>b</w:t>
            </w:r>
          </w:p>
        </w:tc>
        <w:tc>
          <w:tcPr>
            <w:tcW w:w="1593" w:type="dxa"/>
            <w:shd w:val="clear" w:color="auto" w:fill="auto"/>
            <w:vAlign w:val="center"/>
          </w:tcPr>
          <w:p w14:paraId="16BF6EE1" w14:textId="4305912E" w:rsidR="0050195B" w:rsidRPr="00584D9D" w:rsidRDefault="0050195B" w:rsidP="00D55BA4">
            <w:pPr>
              <w:pStyle w:val="TableText"/>
            </w:pPr>
            <w:r w:rsidRPr="00584D9D">
              <w:rPr>
                <w:b/>
              </w:rPr>
              <w:t>Value used in SSD</w:t>
            </w:r>
          </w:p>
        </w:tc>
      </w:tr>
      <w:tr w:rsidR="009B2E2F" w:rsidRPr="00584D9D" w14:paraId="2890C9C0" w14:textId="77777777" w:rsidTr="00A619EB">
        <w:trPr>
          <w:cantSplit/>
        </w:trPr>
        <w:tc>
          <w:tcPr>
            <w:tcW w:w="1555" w:type="dxa"/>
            <w:tcBorders>
              <w:bottom w:val="nil"/>
            </w:tcBorders>
            <w:shd w:val="clear" w:color="auto" w:fill="auto"/>
            <w:vAlign w:val="center"/>
          </w:tcPr>
          <w:p w14:paraId="06D38A6A" w14:textId="0AC964CF" w:rsidR="009B2E2F" w:rsidRPr="00584D9D" w:rsidRDefault="009B2E2F" w:rsidP="00D55BA4">
            <w:pPr>
              <w:pStyle w:val="TableText"/>
            </w:pPr>
            <w:r>
              <w:t>Crustacean</w:t>
            </w:r>
            <w:r w:rsidDel="005826A2">
              <w:t xml:space="preserve"> </w:t>
            </w:r>
            <w:r>
              <w:t>(Arthropoda)</w:t>
            </w:r>
          </w:p>
        </w:tc>
        <w:tc>
          <w:tcPr>
            <w:tcW w:w="1417" w:type="dxa"/>
            <w:tcBorders>
              <w:bottom w:val="nil"/>
            </w:tcBorders>
            <w:shd w:val="clear" w:color="auto" w:fill="auto"/>
            <w:vAlign w:val="center"/>
          </w:tcPr>
          <w:p w14:paraId="7C71B283" w14:textId="5DEF588F" w:rsidR="009B2E2F" w:rsidRPr="00584D9D" w:rsidRDefault="009B2E2F" w:rsidP="00D55BA4">
            <w:pPr>
              <w:pStyle w:val="TableText"/>
            </w:pPr>
            <w:r w:rsidRPr="00AA670A">
              <w:rPr>
                <w:i/>
                <w:iCs/>
              </w:rPr>
              <w:t xml:space="preserve">Penaeus </w:t>
            </w:r>
            <w:proofErr w:type="spellStart"/>
            <w:r w:rsidRPr="00AA670A">
              <w:rPr>
                <w:i/>
                <w:iCs/>
              </w:rPr>
              <w:t>duorarum</w:t>
            </w:r>
            <w:proofErr w:type="spellEnd"/>
          </w:p>
        </w:tc>
        <w:tc>
          <w:tcPr>
            <w:tcW w:w="1276" w:type="dxa"/>
            <w:tcBorders>
              <w:bottom w:val="nil"/>
            </w:tcBorders>
            <w:shd w:val="clear" w:color="auto" w:fill="auto"/>
            <w:vAlign w:val="center"/>
          </w:tcPr>
          <w:p w14:paraId="30DA39A9" w14:textId="77B86F7A" w:rsidR="009B2E2F" w:rsidRPr="00584D9D" w:rsidRDefault="009B2E2F" w:rsidP="00D55BA4">
            <w:pPr>
              <w:pStyle w:val="TableText"/>
            </w:pPr>
            <w:r>
              <w:t>–</w:t>
            </w:r>
          </w:p>
        </w:tc>
        <w:tc>
          <w:tcPr>
            <w:tcW w:w="992" w:type="dxa"/>
            <w:tcBorders>
              <w:bottom w:val="nil"/>
            </w:tcBorders>
            <w:shd w:val="clear" w:color="auto" w:fill="auto"/>
            <w:vAlign w:val="center"/>
          </w:tcPr>
          <w:p w14:paraId="3EE2DBCA" w14:textId="77777777" w:rsidR="009B2E2F" w:rsidRPr="00584D9D" w:rsidRDefault="009B2E2F" w:rsidP="00D55BA4">
            <w:pPr>
              <w:pStyle w:val="TableText"/>
            </w:pPr>
            <w:r>
              <w:t>4</w:t>
            </w:r>
          </w:p>
        </w:tc>
        <w:tc>
          <w:tcPr>
            <w:tcW w:w="851" w:type="dxa"/>
            <w:tcBorders>
              <w:bottom w:val="nil"/>
            </w:tcBorders>
            <w:shd w:val="clear" w:color="auto" w:fill="auto"/>
            <w:vAlign w:val="center"/>
          </w:tcPr>
          <w:p w14:paraId="2016B498" w14:textId="77777777" w:rsidR="009B2E2F" w:rsidRPr="00584D9D" w:rsidRDefault="009B2E2F" w:rsidP="00D55BA4">
            <w:pPr>
              <w:pStyle w:val="TableText"/>
            </w:pPr>
            <w:r>
              <w:t>Acute</w:t>
            </w:r>
          </w:p>
        </w:tc>
        <w:tc>
          <w:tcPr>
            <w:tcW w:w="1701" w:type="dxa"/>
            <w:tcBorders>
              <w:bottom w:val="nil"/>
            </w:tcBorders>
            <w:shd w:val="clear" w:color="auto" w:fill="auto"/>
            <w:vAlign w:val="center"/>
          </w:tcPr>
          <w:p w14:paraId="221AE763" w14:textId="5A3C532D" w:rsidR="009B2E2F" w:rsidRPr="00584D9D" w:rsidRDefault="009B2E2F" w:rsidP="002626BA">
            <w:pPr>
              <w:pStyle w:val="TableText"/>
            </w:pPr>
            <w:r>
              <w:t>LC50</w:t>
            </w:r>
            <w:r w:rsidR="002626BA">
              <w:t xml:space="preserve"> </w:t>
            </w:r>
            <w:r>
              <w:t>(Mortality)</w:t>
            </w:r>
          </w:p>
        </w:tc>
        <w:tc>
          <w:tcPr>
            <w:tcW w:w="1984" w:type="dxa"/>
            <w:tcBorders>
              <w:bottom w:val="nil"/>
            </w:tcBorders>
            <w:shd w:val="clear" w:color="auto" w:fill="auto"/>
            <w:vAlign w:val="center"/>
          </w:tcPr>
          <w:p w14:paraId="7D2B9555" w14:textId="77777777" w:rsidR="009B2E2F" w:rsidRPr="00584D9D" w:rsidRDefault="009B2E2F" w:rsidP="00D55BA4">
            <w:pPr>
              <w:pStyle w:val="TableText"/>
            </w:pPr>
            <w:r w:rsidRPr="00B653CD">
              <w:t>Natural filtered or artificial seawater</w:t>
            </w:r>
          </w:p>
        </w:tc>
        <w:tc>
          <w:tcPr>
            <w:tcW w:w="992" w:type="dxa"/>
            <w:tcBorders>
              <w:bottom w:val="nil"/>
            </w:tcBorders>
            <w:shd w:val="clear" w:color="auto" w:fill="auto"/>
            <w:vAlign w:val="center"/>
          </w:tcPr>
          <w:p w14:paraId="0C0CCBF4" w14:textId="77777777" w:rsidR="009B2E2F" w:rsidRPr="00584D9D" w:rsidRDefault="009B2E2F" w:rsidP="00D55BA4">
            <w:pPr>
              <w:pStyle w:val="TableText"/>
            </w:pPr>
            <w:r w:rsidRPr="00B653CD">
              <w:t>23 ± 1</w:t>
            </w:r>
          </w:p>
        </w:tc>
        <w:tc>
          <w:tcPr>
            <w:tcW w:w="851" w:type="dxa"/>
            <w:tcBorders>
              <w:bottom w:val="nil"/>
            </w:tcBorders>
            <w:shd w:val="clear" w:color="auto" w:fill="auto"/>
            <w:vAlign w:val="center"/>
          </w:tcPr>
          <w:p w14:paraId="61F8FCAC" w14:textId="62B98E6F" w:rsidR="009B2E2F" w:rsidRPr="00584D9D" w:rsidRDefault="009B2E2F" w:rsidP="00D55BA4">
            <w:pPr>
              <w:pStyle w:val="TableText"/>
            </w:pPr>
            <w:r>
              <w:t>–</w:t>
            </w:r>
          </w:p>
        </w:tc>
        <w:tc>
          <w:tcPr>
            <w:tcW w:w="1417" w:type="dxa"/>
            <w:shd w:val="clear" w:color="auto" w:fill="auto"/>
            <w:vAlign w:val="center"/>
          </w:tcPr>
          <w:p w14:paraId="280232B2" w14:textId="50EAF3E1" w:rsidR="009B2E2F" w:rsidRPr="00902EFA" w:rsidRDefault="009B2E2F" w:rsidP="00D55BA4">
            <w:pPr>
              <w:pStyle w:val="TableText"/>
            </w:pPr>
            <w:r w:rsidRPr="00902EFA">
              <w:t>113 000</w:t>
            </w:r>
          </w:p>
        </w:tc>
        <w:tc>
          <w:tcPr>
            <w:tcW w:w="1593" w:type="dxa"/>
            <w:shd w:val="clear" w:color="auto" w:fill="auto"/>
            <w:vAlign w:val="center"/>
          </w:tcPr>
          <w:p w14:paraId="775F92D4" w14:textId="3B251999" w:rsidR="009B2E2F" w:rsidRPr="00584D9D" w:rsidRDefault="009B2E2F" w:rsidP="00D55BA4">
            <w:pPr>
              <w:pStyle w:val="TableText"/>
            </w:pPr>
            <w:r w:rsidRPr="00584D9D">
              <w:t>USEPA (2015)</w:t>
            </w:r>
          </w:p>
        </w:tc>
      </w:tr>
      <w:tr w:rsidR="0050195B" w:rsidRPr="00584D9D" w14:paraId="23E4B56F" w14:textId="77777777" w:rsidTr="001A59DD">
        <w:trPr>
          <w:cantSplit/>
        </w:trPr>
        <w:tc>
          <w:tcPr>
            <w:tcW w:w="11619" w:type="dxa"/>
            <w:gridSpan w:val="9"/>
            <w:tcBorders>
              <w:top w:val="nil"/>
              <w:bottom w:val="single" w:sz="4" w:space="0" w:color="auto"/>
            </w:tcBorders>
            <w:shd w:val="clear" w:color="auto" w:fill="auto"/>
            <w:vAlign w:val="center"/>
          </w:tcPr>
          <w:p w14:paraId="200DB3D0" w14:textId="6C2412A6" w:rsidR="0050195B" w:rsidRPr="00584D9D" w:rsidRDefault="0050195B" w:rsidP="00D55BA4">
            <w:pPr>
              <w:pStyle w:val="TableText"/>
            </w:pPr>
            <w:r>
              <w:t>–</w:t>
            </w:r>
          </w:p>
        </w:tc>
        <w:tc>
          <w:tcPr>
            <w:tcW w:w="1417" w:type="dxa"/>
            <w:shd w:val="clear" w:color="auto" w:fill="auto"/>
            <w:vAlign w:val="center"/>
          </w:tcPr>
          <w:p w14:paraId="48B7EC68" w14:textId="38C069E0" w:rsidR="0050195B" w:rsidRPr="00902EFA" w:rsidRDefault="0050195B" w:rsidP="00D55BA4">
            <w:pPr>
              <w:pStyle w:val="TableText"/>
            </w:pPr>
            <w:r w:rsidRPr="00902EFA">
              <w:t xml:space="preserve">11 300 </w:t>
            </w:r>
            <w:r w:rsidRPr="0088293D">
              <w:rPr>
                <w:rStyle w:val="Strong"/>
                <w:vertAlign w:val="superscript"/>
              </w:rPr>
              <w:t>b</w:t>
            </w:r>
          </w:p>
        </w:tc>
        <w:tc>
          <w:tcPr>
            <w:tcW w:w="1593" w:type="dxa"/>
            <w:shd w:val="clear" w:color="auto" w:fill="auto"/>
            <w:vAlign w:val="center"/>
          </w:tcPr>
          <w:p w14:paraId="52F53450" w14:textId="4A526D5E" w:rsidR="0050195B" w:rsidRPr="00584D9D" w:rsidRDefault="0050195B" w:rsidP="00D55BA4">
            <w:pPr>
              <w:pStyle w:val="TableText"/>
            </w:pPr>
            <w:r w:rsidRPr="00584D9D">
              <w:rPr>
                <w:b/>
              </w:rPr>
              <w:t>Value used in SSD</w:t>
            </w:r>
          </w:p>
        </w:tc>
      </w:tr>
      <w:tr w:rsidR="009B2E2F" w:rsidRPr="00584D9D" w14:paraId="2BC8E930" w14:textId="77777777" w:rsidTr="00A619EB">
        <w:trPr>
          <w:cantSplit/>
        </w:trPr>
        <w:tc>
          <w:tcPr>
            <w:tcW w:w="1555" w:type="dxa"/>
            <w:tcBorders>
              <w:bottom w:val="nil"/>
            </w:tcBorders>
            <w:shd w:val="clear" w:color="auto" w:fill="auto"/>
            <w:vAlign w:val="center"/>
          </w:tcPr>
          <w:p w14:paraId="65ACA539" w14:textId="1B390A4A" w:rsidR="009B2E2F" w:rsidRPr="00584D9D" w:rsidRDefault="009B2E2F" w:rsidP="00D55BA4">
            <w:pPr>
              <w:pStyle w:val="TableText"/>
            </w:pPr>
            <w:r w:rsidRPr="006853AD">
              <w:t>Diatom (Bacillariophyta)</w:t>
            </w:r>
          </w:p>
        </w:tc>
        <w:tc>
          <w:tcPr>
            <w:tcW w:w="1417" w:type="dxa"/>
            <w:tcBorders>
              <w:bottom w:val="nil"/>
            </w:tcBorders>
            <w:shd w:val="clear" w:color="auto" w:fill="auto"/>
            <w:vAlign w:val="center"/>
          </w:tcPr>
          <w:p w14:paraId="2B4B7B50" w14:textId="3FF48226" w:rsidR="009B2E2F" w:rsidRPr="00584D9D" w:rsidRDefault="009B2E2F" w:rsidP="00D55BA4">
            <w:pPr>
              <w:pStyle w:val="TableText"/>
            </w:pPr>
            <w:proofErr w:type="spellStart"/>
            <w:r w:rsidRPr="00584D9D">
              <w:rPr>
                <w:i/>
              </w:rPr>
              <w:t>Ceratoneis</w:t>
            </w:r>
            <w:proofErr w:type="spellEnd"/>
            <w:r w:rsidRPr="00584D9D">
              <w:rPr>
                <w:i/>
              </w:rPr>
              <w:t xml:space="preserve"> </w:t>
            </w:r>
            <w:proofErr w:type="spellStart"/>
            <w:r w:rsidRPr="00584D9D">
              <w:rPr>
                <w:i/>
              </w:rPr>
              <w:t>closterium</w:t>
            </w:r>
            <w:proofErr w:type="spellEnd"/>
          </w:p>
        </w:tc>
        <w:tc>
          <w:tcPr>
            <w:tcW w:w="1276" w:type="dxa"/>
            <w:tcBorders>
              <w:bottom w:val="nil"/>
            </w:tcBorders>
            <w:shd w:val="clear" w:color="auto" w:fill="auto"/>
            <w:vAlign w:val="center"/>
          </w:tcPr>
          <w:p w14:paraId="09C66C5B"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1C378CB1" w14:textId="77777777" w:rsidR="009B2E2F" w:rsidRPr="00584D9D" w:rsidRDefault="009B2E2F" w:rsidP="00D55BA4">
            <w:pPr>
              <w:pStyle w:val="TableText"/>
            </w:pPr>
            <w:r w:rsidRPr="00584D9D">
              <w:t>3</w:t>
            </w:r>
          </w:p>
        </w:tc>
        <w:tc>
          <w:tcPr>
            <w:tcW w:w="851" w:type="dxa"/>
            <w:tcBorders>
              <w:bottom w:val="nil"/>
            </w:tcBorders>
            <w:shd w:val="clear" w:color="auto" w:fill="auto"/>
            <w:vAlign w:val="center"/>
          </w:tcPr>
          <w:p w14:paraId="1A1D2D88"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6C687BF7" w14:textId="2DA7EC19" w:rsidR="009B2E2F" w:rsidRPr="00584D9D" w:rsidRDefault="009B2E2F" w:rsidP="002626BA">
            <w:pPr>
              <w:pStyle w:val="TableText"/>
            </w:pPr>
            <w:r w:rsidRPr="00584D9D">
              <w:t>IC10</w:t>
            </w:r>
            <w:r w:rsidR="002626BA">
              <w:t xml:space="preserve"> </w:t>
            </w:r>
            <w:r w:rsidRPr="00584D9D">
              <w:t>(Growth rate)</w:t>
            </w:r>
          </w:p>
        </w:tc>
        <w:tc>
          <w:tcPr>
            <w:tcW w:w="1984" w:type="dxa"/>
            <w:tcBorders>
              <w:bottom w:val="nil"/>
            </w:tcBorders>
            <w:shd w:val="clear" w:color="auto" w:fill="auto"/>
            <w:vAlign w:val="center"/>
          </w:tcPr>
          <w:p w14:paraId="7F68B075" w14:textId="71F240E6" w:rsidR="009B2E2F" w:rsidRPr="00584D9D" w:rsidRDefault="009B2E2F" w:rsidP="00D55BA4">
            <w:pPr>
              <w:pStyle w:val="TableText"/>
            </w:pPr>
            <w:r w:rsidRPr="00584D9D">
              <w:t>Filtered (0.45</w:t>
            </w:r>
            <w:r>
              <w:t> </w:t>
            </w:r>
            <w:proofErr w:type="spellStart"/>
            <w:r w:rsidRPr="00584D9D">
              <w:t>μm</w:t>
            </w:r>
            <w:proofErr w:type="spellEnd"/>
            <w:r w:rsidRPr="00584D9D">
              <w:t>) seawater</w:t>
            </w:r>
          </w:p>
        </w:tc>
        <w:tc>
          <w:tcPr>
            <w:tcW w:w="992" w:type="dxa"/>
            <w:tcBorders>
              <w:bottom w:val="nil"/>
            </w:tcBorders>
            <w:shd w:val="clear" w:color="auto" w:fill="auto"/>
            <w:vAlign w:val="center"/>
          </w:tcPr>
          <w:p w14:paraId="6E4670E9" w14:textId="77777777" w:rsidR="009B2E2F" w:rsidRPr="00584D9D" w:rsidRDefault="009B2E2F" w:rsidP="00D55BA4">
            <w:pPr>
              <w:pStyle w:val="TableText"/>
            </w:pPr>
            <w:r w:rsidRPr="00584D9D">
              <w:t>21 ± 2</w:t>
            </w:r>
          </w:p>
        </w:tc>
        <w:tc>
          <w:tcPr>
            <w:tcW w:w="851" w:type="dxa"/>
            <w:tcBorders>
              <w:bottom w:val="nil"/>
            </w:tcBorders>
            <w:shd w:val="clear" w:color="auto" w:fill="auto"/>
            <w:vAlign w:val="center"/>
          </w:tcPr>
          <w:p w14:paraId="1F6696F4" w14:textId="77777777" w:rsidR="009B2E2F" w:rsidRPr="00584D9D" w:rsidRDefault="009B2E2F" w:rsidP="00D55BA4">
            <w:pPr>
              <w:pStyle w:val="TableText"/>
            </w:pPr>
            <w:r w:rsidRPr="00584D9D">
              <w:t>8.2 ± 0.1</w:t>
            </w:r>
          </w:p>
        </w:tc>
        <w:tc>
          <w:tcPr>
            <w:tcW w:w="1417" w:type="dxa"/>
            <w:shd w:val="clear" w:color="auto" w:fill="auto"/>
            <w:vAlign w:val="center"/>
          </w:tcPr>
          <w:p w14:paraId="3DB9CF4E" w14:textId="77777777" w:rsidR="009B2E2F" w:rsidRPr="00902EFA" w:rsidRDefault="009B2E2F" w:rsidP="00D55BA4">
            <w:pPr>
              <w:pStyle w:val="TableText"/>
            </w:pPr>
            <w:r w:rsidRPr="00902EFA">
              <w:t>310</w:t>
            </w:r>
          </w:p>
        </w:tc>
        <w:tc>
          <w:tcPr>
            <w:tcW w:w="1593" w:type="dxa"/>
            <w:shd w:val="clear" w:color="auto" w:fill="auto"/>
            <w:vAlign w:val="center"/>
          </w:tcPr>
          <w:p w14:paraId="1C52B3D0" w14:textId="77777777" w:rsidR="009B2E2F" w:rsidRPr="00584D9D" w:rsidRDefault="009B2E2F" w:rsidP="00D55BA4">
            <w:pPr>
              <w:pStyle w:val="TableText"/>
            </w:pPr>
            <w:r w:rsidRPr="00584D9D">
              <w:t>Hook et al. (2014)</w:t>
            </w:r>
          </w:p>
        </w:tc>
      </w:tr>
      <w:tr w:rsidR="0050195B" w:rsidRPr="00584D9D" w14:paraId="348D0E7B" w14:textId="77777777" w:rsidTr="001A59DD">
        <w:trPr>
          <w:cantSplit/>
        </w:trPr>
        <w:tc>
          <w:tcPr>
            <w:tcW w:w="11619" w:type="dxa"/>
            <w:gridSpan w:val="9"/>
            <w:tcBorders>
              <w:top w:val="nil"/>
              <w:bottom w:val="single" w:sz="4" w:space="0" w:color="auto"/>
            </w:tcBorders>
            <w:shd w:val="clear" w:color="auto" w:fill="auto"/>
            <w:vAlign w:val="center"/>
          </w:tcPr>
          <w:p w14:paraId="280A1FB0" w14:textId="6765877C" w:rsidR="0050195B" w:rsidRPr="00584D9D" w:rsidRDefault="0050195B" w:rsidP="00D55BA4">
            <w:pPr>
              <w:pStyle w:val="TableText"/>
            </w:pPr>
            <w:r>
              <w:t>–</w:t>
            </w:r>
          </w:p>
        </w:tc>
        <w:tc>
          <w:tcPr>
            <w:tcW w:w="1417" w:type="dxa"/>
            <w:shd w:val="clear" w:color="auto" w:fill="auto"/>
            <w:vAlign w:val="center"/>
          </w:tcPr>
          <w:p w14:paraId="276E5D02" w14:textId="77777777" w:rsidR="0050195B" w:rsidRPr="00902EFA" w:rsidRDefault="0050195B" w:rsidP="00D55BA4">
            <w:pPr>
              <w:pStyle w:val="TableText"/>
            </w:pPr>
            <w:r w:rsidRPr="00902EFA">
              <w:t>310</w:t>
            </w:r>
          </w:p>
        </w:tc>
        <w:tc>
          <w:tcPr>
            <w:tcW w:w="1593" w:type="dxa"/>
            <w:shd w:val="clear" w:color="auto" w:fill="auto"/>
            <w:vAlign w:val="center"/>
          </w:tcPr>
          <w:p w14:paraId="4FF2E6CC" w14:textId="7CF67473" w:rsidR="0050195B" w:rsidRPr="00584D9D" w:rsidRDefault="0050195B" w:rsidP="00D55BA4">
            <w:pPr>
              <w:pStyle w:val="TableText"/>
            </w:pPr>
            <w:r w:rsidRPr="00584D9D">
              <w:rPr>
                <w:b/>
              </w:rPr>
              <w:t>Value used in SSD</w:t>
            </w:r>
          </w:p>
        </w:tc>
      </w:tr>
      <w:tr w:rsidR="009B2E2F" w:rsidRPr="00584D9D" w14:paraId="4225A8C0" w14:textId="77777777" w:rsidTr="00A619EB">
        <w:trPr>
          <w:cantSplit/>
        </w:trPr>
        <w:tc>
          <w:tcPr>
            <w:tcW w:w="1555" w:type="dxa"/>
            <w:tcBorders>
              <w:bottom w:val="nil"/>
            </w:tcBorders>
            <w:shd w:val="clear" w:color="auto" w:fill="auto"/>
            <w:vAlign w:val="center"/>
          </w:tcPr>
          <w:p w14:paraId="6FB789B5" w14:textId="40144C43" w:rsidR="009B2E2F" w:rsidRPr="00584D9D" w:rsidRDefault="009B2E2F" w:rsidP="00D55BA4">
            <w:pPr>
              <w:pStyle w:val="TableText"/>
            </w:pPr>
            <w:r w:rsidRPr="00584D9D">
              <w:t xml:space="preserve">Diatom </w:t>
            </w:r>
            <w:r>
              <w:t>(</w:t>
            </w:r>
            <w:r w:rsidRPr="00584D9D">
              <w:t>Bacillariophyta</w:t>
            </w:r>
            <w:r>
              <w:t>)</w:t>
            </w:r>
          </w:p>
        </w:tc>
        <w:tc>
          <w:tcPr>
            <w:tcW w:w="1417" w:type="dxa"/>
            <w:tcBorders>
              <w:bottom w:val="nil"/>
            </w:tcBorders>
            <w:shd w:val="clear" w:color="auto" w:fill="auto"/>
            <w:vAlign w:val="center"/>
          </w:tcPr>
          <w:p w14:paraId="6F2ACCE7" w14:textId="69598F2E" w:rsidR="009B2E2F" w:rsidRPr="00584D9D" w:rsidRDefault="009B2E2F" w:rsidP="00D55BA4">
            <w:pPr>
              <w:pStyle w:val="TableText"/>
            </w:pPr>
            <w:proofErr w:type="spellStart"/>
            <w:r w:rsidRPr="00584D9D">
              <w:rPr>
                <w:i/>
              </w:rPr>
              <w:t>Phaeodactylum</w:t>
            </w:r>
            <w:proofErr w:type="spellEnd"/>
            <w:r w:rsidRPr="00584D9D">
              <w:rPr>
                <w:i/>
              </w:rPr>
              <w:t xml:space="preserve"> </w:t>
            </w:r>
            <w:proofErr w:type="spellStart"/>
            <w:r w:rsidRPr="00584D9D">
              <w:rPr>
                <w:i/>
              </w:rPr>
              <w:t>tricornutum</w:t>
            </w:r>
            <w:proofErr w:type="spellEnd"/>
          </w:p>
        </w:tc>
        <w:tc>
          <w:tcPr>
            <w:tcW w:w="1276" w:type="dxa"/>
            <w:tcBorders>
              <w:bottom w:val="nil"/>
            </w:tcBorders>
            <w:shd w:val="clear" w:color="auto" w:fill="auto"/>
            <w:vAlign w:val="center"/>
          </w:tcPr>
          <w:p w14:paraId="5803A657"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1F112B27" w14:textId="77777777" w:rsidR="009B2E2F" w:rsidRPr="00584D9D" w:rsidRDefault="009B2E2F" w:rsidP="00D55BA4">
            <w:pPr>
              <w:pStyle w:val="TableText"/>
            </w:pPr>
            <w:r w:rsidRPr="00584D9D">
              <w:t>3</w:t>
            </w:r>
          </w:p>
        </w:tc>
        <w:tc>
          <w:tcPr>
            <w:tcW w:w="851" w:type="dxa"/>
            <w:tcBorders>
              <w:bottom w:val="nil"/>
            </w:tcBorders>
            <w:shd w:val="clear" w:color="auto" w:fill="auto"/>
            <w:vAlign w:val="center"/>
          </w:tcPr>
          <w:p w14:paraId="70B13EF2"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5AC8CA91" w14:textId="0AED4AA5" w:rsidR="009B2E2F" w:rsidRPr="00584D9D" w:rsidRDefault="009B2E2F" w:rsidP="002626BA">
            <w:pPr>
              <w:pStyle w:val="TableText"/>
            </w:pPr>
            <w:r w:rsidRPr="00584D9D">
              <w:t>IC10</w:t>
            </w:r>
            <w:r w:rsidR="002626BA">
              <w:t xml:space="preserve"> </w:t>
            </w:r>
            <w:r w:rsidRPr="00584D9D">
              <w:t>(Growth rate)</w:t>
            </w:r>
          </w:p>
        </w:tc>
        <w:tc>
          <w:tcPr>
            <w:tcW w:w="1984" w:type="dxa"/>
            <w:tcBorders>
              <w:bottom w:val="nil"/>
            </w:tcBorders>
            <w:shd w:val="clear" w:color="auto" w:fill="auto"/>
            <w:vAlign w:val="center"/>
          </w:tcPr>
          <w:p w14:paraId="640FF1DE" w14:textId="15FF70D1" w:rsidR="009B2E2F" w:rsidRPr="00584D9D" w:rsidRDefault="009B2E2F" w:rsidP="00D55BA4">
            <w:pPr>
              <w:pStyle w:val="TableText"/>
            </w:pPr>
            <w:r w:rsidRPr="00584D9D">
              <w:t>Filtered (0.45</w:t>
            </w:r>
            <w:r>
              <w:t> </w:t>
            </w:r>
            <w:proofErr w:type="spellStart"/>
            <w:r w:rsidRPr="00584D9D">
              <w:t>μm</w:t>
            </w:r>
            <w:proofErr w:type="spellEnd"/>
            <w:r w:rsidRPr="00584D9D">
              <w:t>) seawater</w:t>
            </w:r>
          </w:p>
        </w:tc>
        <w:tc>
          <w:tcPr>
            <w:tcW w:w="992" w:type="dxa"/>
            <w:tcBorders>
              <w:bottom w:val="nil"/>
            </w:tcBorders>
            <w:shd w:val="clear" w:color="auto" w:fill="auto"/>
            <w:vAlign w:val="center"/>
          </w:tcPr>
          <w:p w14:paraId="52BEBFA4" w14:textId="77777777" w:rsidR="009B2E2F" w:rsidRPr="00584D9D" w:rsidRDefault="009B2E2F" w:rsidP="00D55BA4">
            <w:pPr>
              <w:pStyle w:val="TableText"/>
            </w:pPr>
            <w:r w:rsidRPr="00584D9D">
              <w:t>21 ± 2</w:t>
            </w:r>
          </w:p>
        </w:tc>
        <w:tc>
          <w:tcPr>
            <w:tcW w:w="851" w:type="dxa"/>
            <w:tcBorders>
              <w:bottom w:val="nil"/>
            </w:tcBorders>
            <w:shd w:val="clear" w:color="auto" w:fill="auto"/>
            <w:vAlign w:val="center"/>
          </w:tcPr>
          <w:p w14:paraId="7ACAE94A" w14:textId="77777777" w:rsidR="009B2E2F" w:rsidRPr="00584D9D" w:rsidRDefault="009B2E2F" w:rsidP="00D55BA4">
            <w:pPr>
              <w:pStyle w:val="TableText"/>
            </w:pPr>
            <w:r w:rsidRPr="00584D9D">
              <w:t>8.2 ± 0.1</w:t>
            </w:r>
          </w:p>
        </w:tc>
        <w:tc>
          <w:tcPr>
            <w:tcW w:w="1417" w:type="dxa"/>
            <w:shd w:val="clear" w:color="auto" w:fill="auto"/>
            <w:vAlign w:val="center"/>
          </w:tcPr>
          <w:p w14:paraId="5564BF9B" w14:textId="77777777" w:rsidR="009B2E2F" w:rsidRPr="00902EFA" w:rsidRDefault="009B2E2F" w:rsidP="00D55BA4">
            <w:pPr>
              <w:pStyle w:val="TableText"/>
            </w:pPr>
            <w:r w:rsidRPr="00902EFA">
              <w:t>100</w:t>
            </w:r>
          </w:p>
        </w:tc>
        <w:tc>
          <w:tcPr>
            <w:tcW w:w="1593" w:type="dxa"/>
            <w:shd w:val="clear" w:color="auto" w:fill="auto"/>
            <w:vAlign w:val="center"/>
          </w:tcPr>
          <w:p w14:paraId="151783BD" w14:textId="77777777" w:rsidR="009B2E2F" w:rsidRPr="00584D9D" w:rsidRDefault="009B2E2F" w:rsidP="00D55BA4">
            <w:pPr>
              <w:pStyle w:val="TableText"/>
            </w:pPr>
            <w:r w:rsidRPr="00584D9D">
              <w:t>Osborn and Hook (2013)</w:t>
            </w:r>
          </w:p>
        </w:tc>
      </w:tr>
      <w:tr w:rsidR="0050195B" w:rsidRPr="00584D9D" w14:paraId="334E6AA1" w14:textId="77777777" w:rsidTr="001A59DD">
        <w:trPr>
          <w:cantSplit/>
        </w:trPr>
        <w:tc>
          <w:tcPr>
            <w:tcW w:w="11619" w:type="dxa"/>
            <w:gridSpan w:val="9"/>
            <w:tcBorders>
              <w:top w:val="nil"/>
              <w:bottom w:val="single" w:sz="4" w:space="0" w:color="auto"/>
            </w:tcBorders>
            <w:shd w:val="clear" w:color="auto" w:fill="auto"/>
            <w:vAlign w:val="center"/>
          </w:tcPr>
          <w:p w14:paraId="4017E69C" w14:textId="48ACC8E9" w:rsidR="0050195B" w:rsidRPr="00584D9D" w:rsidRDefault="0050195B" w:rsidP="00D55BA4">
            <w:pPr>
              <w:pStyle w:val="TableText"/>
            </w:pPr>
            <w:r>
              <w:t>–</w:t>
            </w:r>
          </w:p>
        </w:tc>
        <w:tc>
          <w:tcPr>
            <w:tcW w:w="1417" w:type="dxa"/>
            <w:shd w:val="clear" w:color="auto" w:fill="auto"/>
            <w:vAlign w:val="center"/>
          </w:tcPr>
          <w:p w14:paraId="6FF6BADF" w14:textId="77777777" w:rsidR="0050195B" w:rsidRPr="00902EFA" w:rsidRDefault="0050195B" w:rsidP="00D55BA4">
            <w:pPr>
              <w:pStyle w:val="TableText"/>
            </w:pPr>
            <w:r w:rsidRPr="00902EFA">
              <w:t>100</w:t>
            </w:r>
          </w:p>
        </w:tc>
        <w:tc>
          <w:tcPr>
            <w:tcW w:w="1593" w:type="dxa"/>
            <w:shd w:val="clear" w:color="auto" w:fill="auto"/>
            <w:vAlign w:val="center"/>
          </w:tcPr>
          <w:p w14:paraId="676BF2CC" w14:textId="0BBF386B" w:rsidR="0050195B" w:rsidRPr="00584D9D" w:rsidRDefault="0050195B" w:rsidP="00D55BA4">
            <w:pPr>
              <w:pStyle w:val="TableText"/>
            </w:pPr>
            <w:r w:rsidRPr="00584D9D">
              <w:rPr>
                <w:b/>
              </w:rPr>
              <w:t>Value used in SSD</w:t>
            </w:r>
          </w:p>
        </w:tc>
      </w:tr>
      <w:tr w:rsidR="009B2E2F" w:rsidRPr="00584D9D" w14:paraId="769A4151" w14:textId="77777777" w:rsidTr="00A619EB">
        <w:trPr>
          <w:cantSplit/>
        </w:trPr>
        <w:tc>
          <w:tcPr>
            <w:tcW w:w="1555" w:type="dxa"/>
            <w:tcBorders>
              <w:bottom w:val="nil"/>
            </w:tcBorders>
            <w:shd w:val="clear" w:color="auto" w:fill="auto"/>
            <w:vAlign w:val="center"/>
          </w:tcPr>
          <w:p w14:paraId="3701997E" w14:textId="04E2DA42" w:rsidR="009B2E2F" w:rsidRPr="00584D9D" w:rsidRDefault="009B2E2F" w:rsidP="00D55BA4">
            <w:pPr>
              <w:pStyle w:val="TableText"/>
            </w:pPr>
            <w:r>
              <w:t>Diatom</w:t>
            </w:r>
            <w:r w:rsidRPr="00584D9D" w:rsidDel="005826A2">
              <w:t xml:space="preserve"> </w:t>
            </w:r>
            <w:r>
              <w:t>(</w:t>
            </w:r>
            <w:r w:rsidRPr="00584D9D">
              <w:t>Bacillariophyta</w:t>
            </w:r>
            <w:r>
              <w:t>)</w:t>
            </w:r>
          </w:p>
        </w:tc>
        <w:tc>
          <w:tcPr>
            <w:tcW w:w="1417" w:type="dxa"/>
            <w:tcBorders>
              <w:bottom w:val="nil"/>
            </w:tcBorders>
            <w:shd w:val="clear" w:color="auto" w:fill="auto"/>
            <w:vAlign w:val="center"/>
          </w:tcPr>
          <w:p w14:paraId="536A394F" w14:textId="4189092B" w:rsidR="009B2E2F" w:rsidRPr="00584D9D" w:rsidRDefault="009B2E2F" w:rsidP="00D55BA4">
            <w:pPr>
              <w:pStyle w:val="TableText"/>
            </w:pPr>
            <w:proofErr w:type="spellStart"/>
            <w:r w:rsidRPr="00584D9D">
              <w:rPr>
                <w:i/>
              </w:rPr>
              <w:t>Skeletonema</w:t>
            </w:r>
            <w:proofErr w:type="spellEnd"/>
            <w:r w:rsidRPr="00584D9D">
              <w:rPr>
                <w:i/>
              </w:rPr>
              <w:t xml:space="preserve"> </w:t>
            </w:r>
            <w:proofErr w:type="spellStart"/>
            <w:r w:rsidRPr="00584D9D">
              <w:rPr>
                <w:i/>
              </w:rPr>
              <w:t>costatum</w:t>
            </w:r>
            <w:proofErr w:type="spellEnd"/>
          </w:p>
        </w:tc>
        <w:tc>
          <w:tcPr>
            <w:tcW w:w="1276" w:type="dxa"/>
            <w:tcBorders>
              <w:bottom w:val="nil"/>
            </w:tcBorders>
            <w:shd w:val="clear" w:color="auto" w:fill="auto"/>
            <w:vAlign w:val="center"/>
          </w:tcPr>
          <w:p w14:paraId="2D2570EE" w14:textId="5FA3CBF4" w:rsidR="009B2E2F" w:rsidRPr="00584D9D" w:rsidRDefault="009B2E2F" w:rsidP="00D55BA4">
            <w:pPr>
              <w:pStyle w:val="TableText"/>
            </w:pPr>
            <w:r>
              <w:t>–</w:t>
            </w:r>
          </w:p>
        </w:tc>
        <w:tc>
          <w:tcPr>
            <w:tcW w:w="992" w:type="dxa"/>
            <w:tcBorders>
              <w:bottom w:val="nil"/>
            </w:tcBorders>
            <w:shd w:val="clear" w:color="auto" w:fill="auto"/>
            <w:vAlign w:val="center"/>
          </w:tcPr>
          <w:p w14:paraId="106A1D26" w14:textId="77777777" w:rsidR="009B2E2F" w:rsidRPr="00584D9D" w:rsidRDefault="009B2E2F" w:rsidP="00D55BA4">
            <w:pPr>
              <w:pStyle w:val="TableText"/>
            </w:pPr>
            <w:r w:rsidRPr="00584D9D">
              <w:t>5</w:t>
            </w:r>
          </w:p>
        </w:tc>
        <w:tc>
          <w:tcPr>
            <w:tcW w:w="851" w:type="dxa"/>
            <w:tcBorders>
              <w:bottom w:val="nil"/>
            </w:tcBorders>
            <w:shd w:val="clear" w:color="auto" w:fill="auto"/>
            <w:vAlign w:val="center"/>
          </w:tcPr>
          <w:p w14:paraId="51ED079B"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0D49A61F" w14:textId="077E8845" w:rsidR="009B2E2F" w:rsidRPr="00584D9D" w:rsidRDefault="009B2E2F" w:rsidP="002626BA">
            <w:pPr>
              <w:pStyle w:val="TableText"/>
            </w:pPr>
            <w:r w:rsidRPr="00584D9D">
              <w:t>NOEL</w:t>
            </w:r>
            <w:r w:rsidR="002626BA">
              <w:t xml:space="preserve"> </w:t>
            </w:r>
            <w:r w:rsidRPr="00584D9D">
              <w:t>(Cell density)</w:t>
            </w:r>
          </w:p>
        </w:tc>
        <w:tc>
          <w:tcPr>
            <w:tcW w:w="1984" w:type="dxa"/>
            <w:tcBorders>
              <w:bottom w:val="nil"/>
            </w:tcBorders>
            <w:shd w:val="clear" w:color="auto" w:fill="auto"/>
            <w:vAlign w:val="center"/>
          </w:tcPr>
          <w:p w14:paraId="5D769A73" w14:textId="77777777" w:rsidR="009B2E2F" w:rsidRPr="00584D9D" w:rsidRDefault="009B2E2F" w:rsidP="00D55BA4">
            <w:pPr>
              <w:pStyle w:val="TableText"/>
            </w:pPr>
            <w:r w:rsidRPr="00584D9D">
              <w:t>Algal nutrient medium</w:t>
            </w:r>
          </w:p>
        </w:tc>
        <w:tc>
          <w:tcPr>
            <w:tcW w:w="992" w:type="dxa"/>
            <w:tcBorders>
              <w:bottom w:val="nil"/>
            </w:tcBorders>
            <w:shd w:val="clear" w:color="auto" w:fill="auto"/>
            <w:vAlign w:val="center"/>
          </w:tcPr>
          <w:p w14:paraId="2A10078B" w14:textId="0348F9D7" w:rsidR="009B2E2F" w:rsidRPr="00584D9D" w:rsidRDefault="009B2E2F" w:rsidP="00D55BA4">
            <w:pPr>
              <w:pStyle w:val="TableText"/>
            </w:pPr>
            <w:r w:rsidRPr="00584D9D">
              <w:t>20</w:t>
            </w:r>
            <w:r>
              <w:t>–</w:t>
            </w:r>
            <w:r w:rsidRPr="00584D9D">
              <w:t>24 ± 2</w:t>
            </w:r>
          </w:p>
        </w:tc>
        <w:tc>
          <w:tcPr>
            <w:tcW w:w="851" w:type="dxa"/>
            <w:tcBorders>
              <w:bottom w:val="nil"/>
            </w:tcBorders>
            <w:shd w:val="clear" w:color="auto" w:fill="auto"/>
            <w:vAlign w:val="center"/>
          </w:tcPr>
          <w:p w14:paraId="43FE2A33" w14:textId="3DDC189C" w:rsidR="009B2E2F" w:rsidRPr="00584D9D" w:rsidRDefault="00C64634" w:rsidP="00D55BA4">
            <w:pPr>
              <w:pStyle w:val="TableText"/>
            </w:pPr>
            <w:r>
              <w:t>–</w:t>
            </w:r>
          </w:p>
        </w:tc>
        <w:tc>
          <w:tcPr>
            <w:tcW w:w="1417" w:type="dxa"/>
            <w:shd w:val="clear" w:color="auto" w:fill="auto"/>
            <w:vAlign w:val="center"/>
          </w:tcPr>
          <w:p w14:paraId="08A5C40B" w14:textId="77777777" w:rsidR="009B2E2F" w:rsidRPr="00902EFA" w:rsidRDefault="009B2E2F" w:rsidP="00D55BA4">
            <w:pPr>
              <w:pStyle w:val="TableText"/>
            </w:pPr>
            <w:r w:rsidRPr="00902EFA">
              <w:t>250</w:t>
            </w:r>
          </w:p>
        </w:tc>
        <w:tc>
          <w:tcPr>
            <w:tcW w:w="1593" w:type="dxa"/>
            <w:shd w:val="clear" w:color="auto" w:fill="auto"/>
            <w:vAlign w:val="center"/>
          </w:tcPr>
          <w:p w14:paraId="5A5E817B" w14:textId="216E6425" w:rsidR="009B2E2F" w:rsidRPr="00584D9D" w:rsidRDefault="009B2E2F" w:rsidP="00D55BA4">
            <w:pPr>
              <w:pStyle w:val="TableText"/>
            </w:pPr>
            <w:r w:rsidRPr="00584D9D">
              <w:t>USEPA (2015)</w:t>
            </w:r>
          </w:p>
        </w:tc>
      </w:tr>
      <w:tr w:rsidR="0050195B" w:rsidRPr="00584D9D" w14:paraId="748D5AB7" w14:textId="77777777" w:rsidTr="001A59DD">
        <w:trPr>
          <w:cantSplit/>
        </w:trPr>
        <w:tc>
          <w:tcPr>
            <w:tcW w:w="11619" w:type="dxa"/>
            <w:gridSpan w:val="9"/>
            <w:tcBorders>
              <w:top w:val="nil"/>
              <w:bottom w:val="single" w:sz="4" w:space="0" w:color="auto"/>
            </w:tcBorders>
            <w:shd w:val="clear" w:color="auto" w:fill="auto"/>
            <w:vAlign w:val="center"/>
          </w:tcPr>
          <w:p w14:paraId="4CD4A3BE" w14:textId="32108236" w:rsidR="0050195B" w:rsidRPr="00584D9D" w:rsidRDefault="0050195B" w:rsidP="00D55BA4">
            <w:pPr>
              <w:pStyle w:val="TableText"/>
            </w:pPr>
            <w:r>
              <w:t>–</w:t>
            </w:r>
          </w:p>
        </w:tc>
        <w:tc>
          <w:tcPr>
            <w:tcW w:w="1417" w:type="dxa"/>
            <w:shd w:val="clear" w:color="auto" w:fill="auto"/>
            <w:vAlign w:val="center"/>
          </w:tcPr>
          <w:p w14:paraId="149AA0F1" w14:textId="77777777" w:rsidR="0050195B" w:rsidRPr="00902EFA" w:rsidRDefault="0050195B" w:rsidP="00D55BA4">
            <w:pPr>
              <w:pStyle w:val="TableText"/>
            </w:pPr>
            <w:r w:rsidRPr="00902EFA">
              <w:t>250</w:t>
            </w:r>
          </w:p>
        </w:tc>
        <w:tc>
          <w:tcPr>
            <w:tcW w:w="1593" w:type="dxa"/>
            <w:shd w:val="clear" w:color="auto" w:fill="auto"/>
            <w:vAlign w:val="center"/>
          </w:tcPr>
          <w:p w14:paraId="0B1D0D21" w14:textId="6765FB0F" w:rsidR="0050195B" w:rsidRPr="00AA670A" w:rsidRDefault="0050195B" w:rsidP="00D55BA4">
            <w:pPr>
              <w:pStyle w:val="TableText"/>
              <w:rPr>
                <w:iCs/>
              </w:rPr>
            </w:pPr>
            <w:r w:rsidRPr="00B8589A">
              <w:rPr>
                <w:b/>
                <w:iCs/>
              </w:rPr>
              <w:t>Value used in SSD</w:t>
            </w:r>
          </w:p>
        </w:tc>
      </w:tr>
      <w:tr w:rsidR="009B2E2F" w:rsidRPr="00584D9D" w14:paraId="7E7574C6" w14:textId="77777777" w:rsidTr="00A619EB">
        <w:trPr>
          <w:cantSplit/>
        </w:trPr>
        <w:tc>
          <w:tcPr>
            <w:tcW w:w="1555" w:type="dxa"/>
            <w:tcBorders>
              <w:bottom w:val="nil"/>
            </w:tcBorders>
            <w:shd w:val="clear" w:color="auto" w:fill="auto"/>
            <w:vAlign w:val="center"/>
          </w:tcPr>
          <w:p w14:paraId="7B99E4C5" w14:textId="1AC8C6CF" w:rsidR="009B2E2F" w:rsidRPr="00584D9D" w:rsidRDefault="009B2E2F" w:rsidP="00D55BA4">
            <w:pPr>
              <w:pStyle w:val="TableText"/>
            </w:pPr>
            <w:r>
              <w:lastRenderedPageBreak/>
              <w:t>Green microalga (</w:t>
            </w:r>
            <w:r w:rsidRPr="00584D9D">
              <w:t>Chlorophyta</w:t>
            </w:r>
            <w:r>
              <w:t>)</w:t>
            </w:r>
          </w:p>
        </w:tc>
        <w:tc>
          <w:tcPr>
            <w:tcW w:w="1417" w:type="dxa"/>
            <w:tcBorders>
              <w:bottom w:val="nil"/>
            </w:tcBorders>
            <w:shd w:val="clear" w:color="auto" w:fill="auto"/>
            <w:vAlign w:val="center"/>
          </w:tcPr>
          <w:p w14:paraId="59EA61DC" w14:textId="4A42A482" w:rsidR="009B2E2F" w:rsidRPr="00584D9D" w:rsidRDefault="009B2E2F" w:rsidP="00D55BA4">
            <w:pPr>
              <w:pStyle w:val="TableText"/>
            </w:pPr>
            <w:proofErr w:type="spellStart"/>
            <w:r w:rsidRPr="00B71D3B">
              <w:rPr>
                <w:i/>
                <w:iCs/>
              </w:rPr>
              <w:t>Chlorococcum</w:t>
            </w:r>
            <w:proofErr w:type="spellEnd"/>
            <w:r w:rsidRPr="00B71D3B">
              <w:t xml:space="preserve"> sp.</w:t>
            </w:r>
          </w:p>
        </w:tc>
        <w:tc>
          <w:tcPr>
            <w:tcW w:w="1276" w:type="dxa"/>
            <w:tcBorders>
              <w:bottom w:val="nil"/>
            </w:tcBorders>
            <w:shd w:val="clear" w:color="auto" w:fill="auto"/>
            <w:vAlign w:val="center"/>
          </w:tcPr>
          <w:p w14:paraId="0FB91E59" w14:textId="6B0A330B" w:rsidR="009B2E2F" w:rsidRPr="00584D9D" w:rsidRDefault="009B2E2F" w:rsidP="00D55BA4">
            <w:pPr>
              <w:pStyle w:val="TableText"/>
            </w:pPr>
            <w:r>
              <w:t>–</w:t>
            </w:r>
          </w:p>
        </w:tc>
        <w:tc>
          <w:tcPr>
            <w:tcW w:w="992" w:type="dxa"/>
            <w:tcBorders>
              <w:bottom w:val="nil"/>
            </w:tcBorders>
            <w:shd w:val="clear" w:color="auto" w:fill="auto"/>
            <w:vAlign w:val="center"/>
          </w:tcPr>
          <w:p w14:paraId="4BCE059D" w14:textId="77777777" w:rsidR="009B2E2F" w:rsidRPr="00584D9D" w:rsidRDefault="009B2E2F" w:rsidP="00D55BA4">
            <w:pPr>
              <w:pStyle w:val="TableText"/>
            </w:pPr>
            <w:r>
              <w:t>10</w:t>
            </w:r>
          </w:p>
        </w:tc>
        <w:tc>
          <w:tcPr>
            <w:tcW w:w="851" w:type="dxa"/>
            <w:tcBorders>
              <w:bottom w:val="nil"/>
            </w:tcBorders>
            <w:shd w:val="clear" w:color="auto" w:fill="auto"/>
            <w:vAlign w:val="center"/>
          </w:tcPr>
          <w:p w14:paraId="39BA243D" w14:textId="77777777" w:rsidR="009B2E2F" w:rsidRPr="00584D9D" w:rsidRDefault="009B2E2F" w:rsidP="00D55BA4">
            <w:pPr>
              <w:pStyle w:val="TableText"/>
            </w:pPr>
            <w:r>
              <w:t>Chronic</w:t>
            </w:r>
          </w:p>
        </w:tc>
        <w:tc>
          <w:tcPr>
            <w:tcW w:w="1701" w:type="dxa"/>
            <w:tcBorders>
              <w:bottom w:val="nil"/>
            </w:tcBorders>
            <w:shd w:val="clear" w:color="auto" w:fill="auto"/>
            <w:vAlign w:val="center"/>
          </w:tcPr>
          <w:p w14:paraId="350D0796" w14:textId="21921D9F" w:rsidR="009B2E2F" w:rsidRPr="00584D9D" w:rsidRDefault="009B2E2F" w:rsidP="002626BA">
            <w:pPr>
              <w:pStyle w:val="TableText"/>
            </w:pPr>
            <w:r>
              <w:t>EC50</w:t>
            </w:r>
            <w:r w:rsidR="002626BA">
              <w:t xml:space="preserve"> </w:t>
            </w:r>
            <w:r>
              <w:t>(Cell density)</w:t>
            </w:r>
          </w:p>
        </w:tc>
        <w:tc>
          <w:tcPr>
            <w:tcW w:w="1984" w:type="dxa"/>
            <w:tcBorders>
              <w:bottom w:val="nil"/>
            </w:tcBorders>
            <w:shd w:val="clear" w:color="auto" w:fill="auto"/>
            <w:vAlign w:val="center"/>
          </w:tcPr>
          <w:p w14:paraId="4FE8CDA6" w14:textId="77777777" w:rsidR="009B2E2F" w:rsidRPr="00584D9D" w:rsidRDefault="009B2E2F" w:rsidP="00D55BA4">
            <w:pPr>
              <w:pStyle w:val="TableText"/>
            </w:pPr>
            <w:r w:rsidRPr="00B653CD">
              <w:t>Synthetic salt water or filtered natural salt water</w:t>
            </w:r>
          </w:p>
        </w:tc>
        <w:tc>
          <w:tcPr>
            <w:tcW w:w="992" w:type="dxa"/>
            <w:tcBorders>
              <w:bottom w:val="nil"/>
            </w:tcBorders>
            <w:shd w:val="clear" w:color="auto" w:fill="auto"/>
            <w:vAlign w:val="center"/>
          </w:tcPr>
          <w:p w14:paraId="31263013" w14:textId="77777777" w:rsidR="009B2E2F" w:rsidRPr="00584D9D" w:rsidRDefault="009B2E2F" w:rsidP="00D55BA4">
            <w:pPr>
              <w:pStyle w:val="TableText"/>
            </w:pPr>
            <w:r w:rsidRPr="00B653CD">
              <w:t>30 ± 5</w:t>
            </w:r>
          </w:p>
        </w:tc>
        <w:tc>
          <w:tcPr>
            <w:tcW w:w="851" w:type="dxa"/>
            <w:tcBorders>
              <w:bottom w:val="nil"/>
            </w:tcBorders>
            <w:shd w:val="clear" w:color="auto" w:fill="auto"/>
            <w:vAlign w:val="center"/>
          </w:tcPr>
          <w:p w14:paraId="210F096B" w14:textId="77777777" w:rsidR="009B2E2F" w:rsidRPr="00584D9D" w:rsidRDefault="009B2E2F" w:rsidP="00D55BA4">
            <w:pPr>
              <w:pStyle w:val="TableText"/>
            </w:pPr>
            <w:r w:rsidRPr="00B653CD">
              <w:t>8.0 ± 0.1</w:t>
            </w:r>
          </w:p>
        </w:tc>
        <w:tc>
          <w:tcPr>
            <w:tcW w:w="1417" w:type="dxa"/>
            <w:shd w:val="clear" w:color="auto" w:fill="auto"/>
            <w:vAlign w:val="center"/>
          </w:tcPr>
          <w:p w14:paraId="58E91068" w14:textId="514BEC96" w:rsidR="009B2E2F" w:rsidRPr="00902EFA" w:rsidRDefault="009B2E2F" w:rsidP="00D55BA4">
            <w:pPr>
              <w:pStyle w:val="TableText"/>
            </w:pPr>
            <w:r w:rsidRPr="00902EFA">
              <w:t>2 000</w:t>
            </w:r>
          </w:p>
        </w:tc>
        <w:tc>
          <w:tcPr>
            <w:tcW w:w="1593" w:type="dxa"/>
            <w:shd w:val="clear" w:color="auto" w:fill="auto"/>
            <w:vAlign w:val="center"/>
          </w:tcPr>
          <w:p w14:paraId="00274B03" w14:textId="3D896D50" w:rsidR="009B2E2F" w:rsidRPr="00584D9D" w:rsidRDefault="009B2E2F" w:rsidP="00D55BA4">
            <w:pPr>
              <w:pStyle w:val="TableText"/>
            </w:pPr>
            <w:r>
              <w:t>USEPA (2015)</w:t>
            </w:r>
          </w:p>
        </w:tc>
      </w:tr>
      <w:tr w:rsidR="0050195B" w:rsidRPr="00584D9D" w14:paraId="6B62A78B" w14:textId="77777777" w:rsidTr="001A59DD">
        <w:trPr>
          <w:cantSplit/>
        </w:trPr>
        <w:tc>
          <w:tcPr>
            <w:tcW w:w="11619" w:type="dxa"/>
            <w:gridSpan w:val="9"/>
            <w:tcBorders>
              <w:top w:val="nil"/>
            </w:tcBorders>
            <w:shd w:val="clear" w:color="auto" w:fill="auto"/>
            <w:vAlign w:val="center"/>
          </w:tcPr>
          <w:p w14:paraId="5E1B1675" w14:textId="41279525" w:rsidR="0050195B" w:rsidRPr="00584D9D" w:rsidRDefault="0050195B" w:rsidP="00D55BA4">
            <w:pPr>
              <w:pStyle w:val="TableText"/>
            </w:pPr>
            <w:r>
              <w:t>–</w:t>
            </w:r>
          </w:p>
        </w:tc>
        <w:tc>
          <w:tcPr>
            <w:tcW w:w="1417" w:type="dxa"/>
            <w:shd w:val="clear" w:color="auto" w:fill="auto"/>
            <w:vAlign w:val="center"/>
          </w:tcPr>
          <w:p w14:paraId="50397D6A" w14:textId="68C005FD" w:rsidR="0050195B" w:rsidRPr="00902EFA" w:rsidRDefault="0050195B" w:rsidP="00D55BA4">
            <w:pPr>
              <w:pStyle w:val="TableText"/>
            </w:pPr>
            <w:r w:rsidRPr="00902EFA">
              <w:t xml:space="preserve">400 </w:t>
            </w:r>
            <w:r w:rsidRPr="0088293D">
              <w:rPr>
                <w:rStyle w:val="Strong"/>
                <w:vertAlign w:val="superscript"/>
              </w:rPr>
              <w:t>a</w:t>
            </w:r>
          </w:p>
        </w:tc>
        <w:tc>
          <w:tcPr>
            <w:tcW w:w="1593" w:type="dxa"/>
            <w:shd w:val="clear" w:color="auto" w:fill="auto"/>
            <w:vAlign w:val="center"/>
          </w:tcPr>
          <w:p w14:paraId="488D2F76" w14:textId="70EF33E6" w:rsidR="0050195B" w:rsidRPr="00AA670A" w:rsidRDefault="0050195B" w:rsidP="00D55BA4">
            <w:pPr>
              <w:pStyle w:val="TableText"/>
              <w:rPr>
                <w:iCs/>
              </w:rPr>
            </w:pPr>
            <w:r w:rsidRPr="00B8589A">
              <w:rPr>
                <w:b/>
                <w:iCs/>
              </w:rPr>
              <w:t>Value used in SSD</w:t>
            </w:r>
          </w:p>
        </w:tc>
      </w:tr>
      <w:tr w:rsidR="009B2E2F" w:rsidRPr="00584D9D" w14:paraId="7932C614" w14:textId="77777777" w:rsidTr="00A619EB">
        <w:trPr>
          <w:cantSplit/>
        </w:trPr>
        <w:tc>
          <w:tcPr>
            <w:tcW w:w="1555" w:type="dxa"/>
            <w:shd w:val="clear" w:color="auto" w:fill="auto"/>
            <w:vAlign w:val="center"/>
          </w:tcPr>
          <w:p w14:paraId="37B5C9B6" w14:textId="2F0A2706" w:rsidR="009B2E2F" w:rsidRPr="00584D9D" w:rsidRDefault="009B2E2F" w:rsidP="00D55BA4">
            <w:pPr>
              <w:pStyle w:val="TableText"/>
            </w:pPr>
            <w:r>
              <w:t>Green microalga</w:t>
            </w:r>
            <w:r w:rsidRPr="00584D9D" w:rsidDel="005826A2">
              <w:t xml:space="preserve"> </w:t>
            </w:r>
            <w:r>
              <w:t>(</w:t>
            </w:r>
            <w:r w:rsidRPr="00584D9D">
              <w:t>Chlorophyta</w:t>
            </w:r>
            <w:r>
              <w:t>)</w:t>
            </w:r>
          </w:p>
        </w:tc>
        <w:tc>
          <w:tcPr>
            <w:tcW w:w="1417" w:type="dxa"/>
            <w:shd w:val="clear" w:color="auto" w:fill="auto"/>
            <w:vAlign w:val="center"/>
          </w:tcPr>
          <w:p w14:paraId="54082E2C" w14:textId="515159E6" w:rsidR="009B2E2F" w:rsidRPr="00584D9D" w:rsidRDefault="009B2E2F" w:rsidP="00D55BA4">
            <w:pPr>
              <w:pStyle w:val="TableText"/>
            </w:pPr>
            <w:proofErr w:type="spellStart"/>
            <w:r w:rsidRPr="00B71D3B">
              <w:rPr>
                <w:i/>
                <w:iCs/>
              </w:rPr>
              <w:t>Dunaliella</w:t>
            </w:r>
            <w:proofErr w:type="spellEnd"/>
            <w:r w:rsidRPr="00B71D3B">
              <w:rPr>
                <w:i/>
                <w:iCs/>
              </w:rPr>
              <w:t xml:space="preserve"> </w:t>
            </w:r>
            <w:proofErr w:type="spellStart"/>
            <w:r w:rsidRPr="00B71D3B">
              <w:rPr>
                <w:i/>
                <w:iCs/>
              </w:rPr>
              <w:t>tertiolecta</w:t>
            </w:r>
            <w:proofErr w:type="spellEnd"/>
          </w:p>
        </w:tc>
        <w:tc>
          <w:tcPr>
            <w:tcW w:w="1276" w:type="dxa"/>
            <w:shd w:val="clear" w:color="auto" w:fill="auto"/>
            <w:vAlign w:val="center"/>
          </w:tcPr>
          <w:p w14:paraId="58E02CC4" w14:textId="79D48710" w:rsidR="009B2E2F" w:rsidRPr="00584D9D" w:rsidRDefault="009B2E2F" w:rsidP="00D55BA4">
            <w:pPr>
              <w:pStyle w:val="TableText"/>
            </w:pPr>
            <w:r>
              <w:t>–</w:t>
            </w:r>
          </w:p>
        </w:tc>
        <w:tc>
          <w:tcPr>
            <w:tcW w:w="992" w:type="dxa"/>
            <w:shd w:val="clear" w:color="auto" w:fill="auto"/>
            <w:vAlign w:val="center"/>
          </w:tcPr>
          <w:p w14:paraId="2B2252CA" w14:textId="77777777" w:rsidR="009B2E2F" w:rsidRPr="00584D9D" w:rsidRDefault="009B2E2F" w:rsidP="00D55BA4">
            <w:pPr>
              <w:pStyle w:val="TableText"/>
            </w:pPr>
            <w:r>
              <w:t>10</w:t>
            </w:r>
          </w:p>
        </w:tc>
        <w:tc>
          <w:tcPr>
            <w:tcW w:w="851" w:type="dxa"/>
            <w:shd w:val="clear" w:color="auto" w:fill="auto"/>
            <w:vAlign w:val="center"/>
          </w:tcPr>
          <w:p w14:paraId="5ECEE553" w14:textId="77777777" w:rsidR="009B2E2F" w:rsidRPr="00584D9D" w:rsidRDefault="009B2E2F" w:rsidP="00D55BA4">
            <w:pPr>
              <w:pStyle w:val="TableText"/>
            </w:pPr>
            <w:r>
              <w:t>Chronic</w:t>
            </w:r>
          </w:p>
        </w:tc>
        <w:tc>
          <w:tcPr>
            <w:tcW w:w="1701" w:type="dxa"/>
            <w:shd w:val="clear" w:color="auto" w:fill="auto"/>
            <w:vAlign w:val="center"/>
          </w:tcPr>
          <w:p w14:paraId="4240881B" w14:textId="42727B3A" w:rsidR="009B2E2F" w:rsidRPr="00584D9D" w:rsidRDefault="009B2E2F" w:rsidP="002626BA">
            <w:pPr>
              <w:pStyle w:val="TableText"/>
            </w:pPr>
            <w:r>
              <w:t>EC50</w:t>
            </w:r>
            <w:r w:rsidR="002626BA">
              <w:t xml:space="preserve"> </w:t>
            </w:r>
            <w:r>
              <w:t>(Cell density)</w:t>
            </w:r>
          </w:p>
        </w:tc>
        <w:tc>
          <w:tcPr>
            <w:tcW w:w="1984" w:type="dxa"/>
            <w:shd w:val="clear" w:color="auto" w:fill="auto"/>
            <w:vAlign w:val="center"/>
          </w:tcPr>
          <w:p w14:paraId="40B23D50" w14:textId="77777777" w:rsidR="009B2E2F" w:rsidRPr="00584D9D" w:rsidRDefault="009B2E2F" w:rsidP="00D55BA4">
            <w:pPr>
              <w:pStyle w:val="TableText"/>
            </w:pPr>
            <w:r w:rsidRPr="00B653CD">
              <w:t>Synthetic salt water or filtered natural salt water</w:t>
            </w:r>
          </w:p>
        </w:tc>
        <w:tc>
          <w:tcPr>
            <w:tcW w:w="992" w:type="dxa"/>
            <w:shd w:val="clear" w:color="auto" w:fill="auto"/>
            <w:vAlign w:val="center"/>
          </w:tcPr>
          <w:p w14:paraId="10E7072C" w14:textId="77777777" w:rsidR="009B2E2F" w:rsidRPr="00584D9D" w:rsidRDefault="009B2E2F" w:rsidP="00D55BA4">
            <w:pPr>
              <w:pStyle w:val="TableText"/>
            </w:pPr>
            <w:r w:rsidRPr="00B653CD">
              <w:t>30 ± 5</w:t>
            </w:r>
          </w:p>
        </w:tc>
        <w:tc>
          <w:tcPr>
            <w:tcW w:w="851" w:type="dxa"/>
            <w:shd w:val="clear" w:color="auto" w:fill="auto"/>
            <w:vAlign w:val="center"/>
          </w:tcPr>
          <w:p w14:paraId="0A0AE60C" w14:textId="77777777" w:rsidR="009B2E2F" w:rsidRPr="00584D9D" w:rsidRDefault="009B2E2F" w:rsidP="00D55BA4">
            <w:pPr>
              <w:pStyle w:val="TableText"/>
            </w:pPr>
            <w:r w:rsidRPr="00B653CD">
              <w:t>8.0 ± 0.1</w:t>
            </w:r>
          </w:p>
        </w:tc>
        <w:tc>
          <w:tcPr>
            <w:tcW w:w="1417" w:type="dxa"/>
            <w:shd w:val="clear" w:color="auto" w:fill="auto"/>
            <w:vAlign w:val="center"/>
          </w:tcPr>
          <w:p w14:paraId="5F2823A3" w14:textId="47260BB3" w:rsidR="009B2E2F" w:rsidRPr="00902EFA" w:rsidRDefault="009B2E2F" w:rsidP="00D55BA4">
            <w:pPr>
              <w:pStyle w:val="TableText"/>
            </w:pPr>
            <w:r w:rsidRPr="00902EFA">
              <w:t>5 000</w:t>
            </w:r>
          </w:p>
        </w:tc>
        <w:tc>
          <w:tcPr>
            <w:tcW w:w="1593" w:type="dxa"/>
            <w:shd w:val="clear" w:color="auto" w:fill="auto"/>
            <w:vAlign w:val="center"/>
          </w:tcPr>
          <w:p w14:paraId="21EC16C8" w14:textId="7582FC00" w:rsidR="009B2E2F" w:rsidRPr="00584D9D" w:rsidRDefault="009B2E2F" w:rsidP="00D55BA4">
            <w:pPr>
              <w:pStyle w:val="TableText"/>
            </w:pPr>
            <w:r>
              <w:t>USEPA (2015)</w:t>
            </w:r>
          </w:p>
        </w:tc>
      </w:tr>
      <w:tr w:rsidR="0050195B" w:rsidRPr="00584D9D" w14:paraId="7546BF58" w14:textId="77777777" w:rsidTr="001A59DD">
        <w:trPr>
          <w:cantSplit/>
        </w:trPr>
        <w:tc>
          <w:tcPr>
            <w:tcW w:w="11619" w:type="dxa"/>
            <w:gridSpan w:val="9"/>
            <w:shd w:val="clear" w:color="auto" w:fill="auto"/>
            <w:vAlign w:val="center"/>
          </w:tcPr>
          <w:p w14:paraId="3246EDDF" w14:textId="5E082500" w:rsidR="0050195B" w:rsidRPr="00584D9D" w:rsidRDefault="0050195B" w:rsidP="00D55BA4">
            <w:pPr>
              <w:pStyle w:val="TableText"/>
            </w:pPr>
            <w:r>
              <w:t>–</w:t>
            </w:r>
          </w:p>
        </w:tc>
        <w:tc>
          <w:tcPr>
            <w:tcW w:w="1417" w:type="dxa"/>
            <w:shd w:val="clear" w:color="auto" w:fill="auto"/>
            <w:vAlign w:val="center"/>
          </w:tcPr>
          <w:p w14:paraId="66205827" w14:textId="0ACF6E9C" w:rsidR="0050195B" w:rsidRPr="00902EFA" w:rsidRDefault="0050195B" w:rsidP="00D55BA4">
            <w:pPr>
              <w:pStyle w:val="TableText"/>
            </w:pPr>
            <w:r w:rsidRPr="00902EFA">
              <w:t xml:space="preserve">1 000 </w:t>
            </w:r>
            <w:r w:rsidRPr="0088293D">
              <w:rPr>
                <w:rStyle w:val="Strong"/>
                <w:vertAlign w:val="superscript"/>
              </w:rPr>
              <w:t>a</w:t>
            </w:r>
          </w:p>
        </w:tc>
        <w:tc>
          <w:tcPr>
            <w:tcW w:w="1593" w:type="dxa"/>
            <w:shd w:val="clear" w:color="auto" w:fill="auto"/>
            <w:vAlign w:val="center"/>
          </w:tcPr>
          <w:p w14:paraId="01E2CFB3" w14:textId="5646644B" w:rsidR="0050195B" w:rsidRPr="00AA670A" w:rsidRDefault="0050195B" w:rsidP="00D55BA4">
            <w:pPr>
              <w:pStyle w:val="TableText"/>
              <w:rPr>
                <w:iCs/>
              </w:rPr>
            </w:pPr>
            <w:r w:rsidRPr="00B8589A">
              <w:rPr>
                <w:b/>
                <w:iCs/>
              </w:rPr>
              <w:t>Value used in SSD</w:t>
            </w:r>
          </w:p>
        </w:tc>
      </w:tr>
      <w:tr w:rsidR="009B2E2F" w:rsidRPr="00584D9D" w14:paraId="0FE98658" w14:textId="77777777" w:rsidTr="00A619EB">
        <w:trPr>
          <w:cantSplit/>
        </w:trPr>
        <w:tc>
          <w:tcPr>
            <w:tcW w:w="1555" w:type="dxa"/>
            <w:vMerge w:val="restart"/>
            <w:shd w:val="clear" w:color="auto" w:fill="auto"/>
            <w:vAlign w:val="center"/>
          </w:tcPr>
          <w:p w14:paraId="2703CAB6" w14:textId="59F41D35" w:rsidR="009B2E2F" w:rsidRPr="00584D9D" w:rsidRDefault="009B2E2F" w:rsidP="00D55BA4">
            <w:pPr>
              <w:pStyle w:val="TableText"/>
            </w:pPr>
            <w:r>
              <w:t>Green microalga</w:t>
            </w:r>
            <w:r w:rsidRPr="00584D9D">
              <w:t xml:space="preserve"> </w:t>
            </w:r>
            <w:r>
              <w:t>(</w:t>
            </w:r>
            <w:r w:rsidRPr="00584D9D">
              <w:t>Chlorophyta</w:t>
            </w:r>
            <w:r>
              <w:t>)</w:t>
            </w:r>
          </w:p>
        </w:tc>
        <w:tc>
          <w:tcPr>
            <w:tcW w:w="1417" w:type="dxa"/>
            <w:vMerge w:val="restart"/>
            <w:shd w:val="clear" w:color="auto" w:fill="auto"/>
            <w:vAlign w:val="center"/>
          </w:tcPr>
          <w:p w14:paraId="57846B1A" w14:textId="616D401C" w:rsidR="009B2E2F" w:rsidRPr="00584D9D" w:rsidRDefault="009B2E2F" w:rsidP="00D55BA4">
            <w:pPr>
              <w:pStyle w:val="TableText"/>
            </w:pPr>
            <w:proofErr w:type="spellStart"/>
            <w:r w:rsidRPr="00584D9D">
              <w:rPr>
                <w:i/>
              </w:rPr>
              <w:t>Tetraselmis</w:t>
            </w:r>
            <w:proofErr w:type="spellEnd"/>
            <w:r w:rsidRPr="00584D9D">
              <w:rPr>
                <w:i/>
              </w:rPr>
              <w:t xml:space="preserve"> </w:t>
            </w:r>
            <w:r w:rsidRPr="007526BE">
              <w:rPr>
                <w:iCs/>
              </w:rPr>
              <w:t>sp.</w:t>
            </w:r>
          </w:p>
        </w:tc>
        <w:tc>
          <w:tcPr>
            <w:tcW w:w="1276" w:type="dxa"/>
            <w:shd w:val="clear" w:color="auto" w:fill="auto"/>
            <w:vAlign w:val="center"/>
          </w:tcPr>
          <w:p w14:paraId="0E0DAD20" w14:textId="77777777" w:rsidR="009B2E2F" w:rsidRPr="00584D9D" w:rsidRDefault="009B2E2F" w:rsidP="00D55BA4">
            <w:pPr>
              <w:pStyle w:val="TableText"/>
            </w:pPr>
            <w:r w:rsidRPr="00584D9D">
              <w:t>Exponential growth phase</w:t>
            </w:r>
          </w:p>
        </w:tc>
        <w:tc>
          <w:tcPr>
            <w:tcW w:w="992" w:type="dxa"/>
            <w:shd w:val="clear" w:color="auto" w:fill="auto"/>
            <w:vAlign w:val="center"/>
          </w:tcPr>
          <w:p w14:paraId="3DB74E96" w14:textId="77777777" w:rsidR="009B2E2F" w:rsidRPr="00584D9D" w:rsidRDefault="009B2E2F" w:rsidP="00D55BA4">
            <w:pPr>
              <w:pStyle w:val="TableText"/>
            </w:pPr>
            <w:r w:rsidRPr="00584D9D">
              <w:t>3</w:t>
            </w:r>
          </w:p>
        </w:tc>
        <w:tc>
          <w:tcPr>
            <w:tcW w:w="851" w:type="dxa"/>
            <w:shd w:val="clear" w:color="auto" w:fill="auto"/>
            <w:vAlign w:val="center"/>
          </w:tcPr>
          <w:p w14:paraId="3C4E9F8B" w14:textId="77777777" w:rsidR="009B2E2F" w:rsidRPr="00584D9D" w:rsidRDefault="009B2E2F" w:rsidP="00D55BA4">
            <w:pPr>
              <w:pStyle w:val="TableText"/>
            </w:pPr>
            <w:r w:rsidRPr="00584D9D">
              <w:t>Chronic</w:t>
            </w:r>
          </w:p>
        </w:tc>
        <w:tc>
          <w:tcPr>
            <w:tcW w:w="1701" w:type="dxa"/>
            <w:shd w:val="clear" w:color="auto" w:fill="auto"/>
            <w:vAlign w:val="center"/>
          </w:tcPr>
          <w:p w14:paraId="2F4B632D" w14:textId="1B38E56C" w:rsidR="009B2E2F" w:rsidRPr="00584D9D" w:rsidRDefault="009B2E2F" w:rsidP="002626BA">
            <w:pPr>
              <w:pStyle w:val="TableText"/>
            </w:pPr>
            <w:r w:rsidRPr="00584D9D">
              <w:t>NEC</w:t>
            </w:r>
            <w:r w:rsidR="002626BA">
              <w:t xml:space="preserve"> </w:t>
            </w:r>
            <w:r w:rsidRPr="00584D9D">
              <w:t>(Growth rate)</w:t>
            </w:r>
          </w:p>
        </w:tc>
        <w:tc>
          <w:tcPr>
            <w:tcW w:w="1984" w:type="dxa"/>
            <w:shd w:val="clear" w:color="auto" w:fill="auto"/>
            <w:vAlign w:val="center"/>
          </w:tcPr>
          <w:p w14:paraId="7A287A5A" w14:textId="77777777" w:rsidR="009B2E2F" w:rsidRPr="00584D9D" w:rsidRDefault="009B2E2F" w:rsidP="00D55BA4">
            <w:pPr>
              <w:pStyle w:val="TableText"/>
            </w:pPr>
            <w:r w:rsidRPr="00584D9D">
              <w:t>EDTA-free Guillard’s f/2 medium</w:t>
            </w:r>
          </w:p>
        </w:tc>
        <w:tc>
          <w:tcPr>
            <w:tcW w:w="992" w:type="dxa"/>
            <w:shd w:val="clear" w:color="auto" w:fill="auto"/>
            <w:vAlign w:val="center"/>
          </w:tcPr>
          <w:p w14:paraId="7DEADA0F" w14:textId="4C1DFECF" w:rsidR="009B2E2F" w:rsidRPr="00584D9D" w:rsidRDefault="009B2E2F" w:rsidP="00D55BA4">
            <w:pPr>
              <w:pStyle w:val="TableText"/>
            </w:pPr>
            <w:r w:rsidRPr="00584D9D">
              <w:t>27</w:t>
            </w:r>
            <w:r>
              <w:t>–</w:t>
            </w:r>
            <w:r w:rsidRPr="00584D9D">
              <w:t>29</w:t>
            </w:r>
          </w:p>
        </w:tc>
        <w:tc>
          <w:tcPr>
            <w:tcW w:w="851" w:type="dxa"/>
            <w:shd w:val="clear" w:color="auto" w:fill="auto"/>
            <w:vAlign w:val="center"/>
          </w:tcPr>
          <w:p w14:paraId="35BC6BF5" w14:textId="1F7150E8" w:rsidR="009B2E2F" w:rsidRPr="00584D9D" w:rsidRDefault="009B2E2F" w:rsidP="00D55BA4">
            <w:pPr>
              <w:pStyle w:val="TableText"/>
            </w:pPr>
            <w:r w:rsidRPr="00584D9D">
              <w:t>8.1</w:t>
            </w:r>
            <w:r>
              <w:t>–</w:t>
            </w:r>
            <w:r w:rsidRPr="00584D9D">
              <w:t>8.2</w:t>
            </w:r>
          </w:p>
        </w:tc>
        <w:tc>
          <w:tcPr>
            <w:tcW w:w="1417" w:type="dxa"/>
            <w:shd w:val="clear" w:color="auto" w:fill="auto"/>
            <w:vAlign w:val="center"/>
          </w:tcPr>
          <w:p w14:paraId="18866F3F" w14:textId="77777777" w:rsidR="009B2E2F" w:rsidRPr="00902EFA" w:rsidRDefault="009B2E2F" w:rsidP="00D55BA4">
            <w:pPr>
              <w:pStyle w:val="TableText"/>
            </w:pPr>
            <w:r w:rsidRPr="00902EFA">
              <w:t>37.5</w:t>
            </w:r>
          </w:p>
        </w:tc>
        <w:tc>
          <w:tcPr>
            <w:tcW w:w="1593" w:type="dxa"/>
            <w:shd w:val="clear" w:color="auto" w:fill="auto"/>
            <w:vAlign w:val="center"/>
          </w:tcPr>
          <w:p w14:paraId="7866842C" w14:textId="77777777" w:rsidR="009B2E2F" w:rsidRPr="00584D9D" w:rsidRDefault="009B2E2F" w:rsidP="00D55BA4">
            <w:pPr>
              <w:pStyle w:val="TableText"/>
            </w:pPr>
            <w:r w:rsidRPr="00584D9D">
              <w:t>Negri et al. (2020)</w:t>
            </w:r>
          </w:p>
        </w:tc>
      </w:tr>
      <w:tr w:rsidR="009B2E2F" w:rsidRPr="00584D9D" w14:paraId="1C4BB830" w14:textId="77777777" w:rsidTr="00A619EB">
        <w:trPr>
          <w:cantSplit/>
        </w:trPr>
        <w:tc>
          <w:tcPr>
            <w:tcW w:w="1555" w:type="dxa"/>
            <w:vMerge/>
            <w:tcBorders>
              <w:bottom w:val="nil"/>
            </w:tcBorders>
            <w:shd w:val="clear" w:color="auto" w:fill="auto"/>
            <w:vAlign w:val="center"/>
          </w:tcPr>
          <w:p w14:paraId="2F11AAF6" w14:textId="380C1BE2" w:rsidR="009B2E2F" w:rsidRPr="00584D9D" w:rsidRDefault="009B2E2F" w:rsidP="00D55BA4">
            <w:pPr>
              <w:pStyle w:val="TableText"/>
            </w:pPr>
          </w:p>
        </w:tc>
        <w:tc>
          <w:tcPr>
            <w:tcW w:w="1417" w:type="dxa"/>
            <w:vMerge/>
            <w:tcBorders>
              <w:bottom w:val="nil"/>
            </w:tcBorders>
            <w:shd w:val="clear" w:color="auto" w:fill="auto"/>
            <w:vAlign w:val="center"/>
          </w:tcPr>
          <w:p w14:paraId="53D8729D" w14:textId="53AE582A" w:rsidR="009B2E2F" w:rsidRPr="00584D9D" w:rsidRDefault="009B2E2F" w:rsidP="00D55BA4">
            <w:pPr>
              <w:pStyle w:val="TableText"/>
            </w:pPr>
          </w:p>
        </w:tc>
        <w:tc>
          <w:tcPr>
            <w:tcW w:w="1276" w:type="dxa"/>
            <w:tcBorders>
              <w:bottom w:val="nil"/>
            </w:tcBorders>
            <w:shd w:val="clear" w:color="auto" w:fill="auto"/>
            <w:vAlign w:val="center"/>
          </w:tcPr>
          <w:p w14:paraId="31B1C34F"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0B9E721D" w14:textId="77777777" w:rsidR="009B2E2F" w:rsidRPr="00584D9D" w:rsidRDefault="009B2E2F" w:rsidP="00D55BA4">
            <w:pPr>
              <w:pStyle w:val="TableText"/>
            </w:pPr>
            <w:r w:rsidRPr="00584D9D">
              <w:t>3</w:t>
            </w:r>
          </w:p>
        </w:tc>
        <w:tc>
          <w:tcPr>
            <w:tcW w:w="851" w:type="dxa"/>
            <w:tcBorders>
              <w:bottom w:val="nil"/>
            </w:tcBorders>
            <w:shd w:val="clear" w:color="auto" w:fill="auto"/>
            <w:vAlign w:val="center"/>
          </w:tcPr>
          <w:p w14:paraId="588C6FCA"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1EA98D80" w14:textId="7A8A37CD" w:rsidR="009B2E2F" w:rsidRPr="00584D9D" w:rsidRDefault="009B2E2F" w:rsidP="002626BA">
            <w:pPr>
              <w:pStyle w:val="TableText"/>
            </w:pPr>
            <w:r w:rsidRPr="00584D9D">
              <w:t>EC10</w:t>
            </w:r>
            <w:r w:rsidR="002626BA">
              <w:t xml:space="preserve"> </w:t>
            </w:r>
            <w:r w:rsidRPr="00584D9D">
              <w:t>(Growth rate)</w:t>
            </w:r>
          </w:p>
        </w:tc>
        <w:tc>
          <w:tcPr>
            <w:tcW w:w="1984" w:type="dxa"/>
            <w:tcBorders>
              <w:bottom w:val="nil"/>
            </w:tcBorders>
            <w:shd w:val="clear" w:color="auto" w:fill="auto"/>
            <w:vAlign w:val="center"/>
          </w:tcPr>
          <w:p w14:paraId="69A6174D" w14:textId="77777777" w:rsidR="009B2E2F" w:rsidRPr="00584D9D" w:rsidRDefault="009B2E2F" w:rsidP="00D55BA4">
            <w:pPr>
              <w:pStyle w:val="TableText"/>
            </w:pPr>
            <w:r w:rsidRPr="00584D9D">
              <w:t>EDTA-free Guillard’s f/2 medium</w:t>
            </w:r>
          </w:p>
        </w:tc>
        <w:tc>
          <w:tcPr>
            <w:tcW w:w="992" w:type="dxa"/>
            <w:tcBorders>
              <w:bottom w:val="nil"/>
            </w:tcBorders>
            <w:shd w:val="clear" w:color="auto" w:fill="auto"/>
            <w:vAlign w:val="center"/>
          </w:tcPr>
          <w:p w14:paraId="23D8E0D5" w14:textId="52B3BDD6" w:rsidR="009B2E2F" w:rsidRPr="00584D9D" w:rsidRDefault="009B2E2F" w:rsidP="00D55BA4">
            <w:pPr>
              <w:pStyle w:val="TableText"/>
            </w:pPr>
            <w:r w:rsidRPr="00584D9D">
              <w:t>27</w:t>
            </w:r>
            <w:r>
              <w:t>–</w:t>
            </w:r>
            <w:r w:rsidRPr="00584D9D">
              <w:t>29</w:t>
            </w:r>
          </w:p>
        </w:tc>
        <w:tc>
          <w:tcPr>
            <w:tcW w:w="851" w:type="dxa"/>
            <w:tcBorders>
              <w:bottom w:val="nil"/>
            </w:tcBorders>
            <w:shd w:val="clear" w:color="auto" w:fill="auto"/>
            <w:vAlign w:val="center"/>
          </w:tcPr>
          <w:p w14:paraId="52360885" w14:textId="1C2AD2A4" w:rsidR="009B2E2F" w:rsidRPr="00584D9D" w:rsidRDefault="009B2E2F" w:rsidP="00D55BA4">
            <w:pPr>
              <w:pStyle w:val="TableText"/>
            </w:pPr>
            <w:r w:rsidRPr="00584D9D">
              <w:t>8.1</w:t>
            </w:r>
            <w:r>
              <w:t>–</w:t>
            </w:r>
            <w:r w:rsidRPr="00584D9D">
              <w:t>8.2</w:t>
            </w:r>
          </w:p>
        </w:tc>
        <w:tc>
          <w:tcPr>
            <w:tcW w:w="1417" w:type="dxa"/>
            <w:shd w:val="clear" w:color="auto" w:fill="auto"/>
            <w:vAlign w:val="center"/>
          </w:tcPr>
          <w:p w14:paraId="7DF1B88B" w14:textId="77777777" w:rsidR="009B2E2F" w:rsidRPr="00902EFA" w:rsidRDefault="009B2E2F" w:rsidP="00D55BA4">
            <w:pPr>
              <w:pStyle w:val="TableText"/>
            </w:pPr>
            <w:r w:rsidRPr="00902EFA">
              <w:t>37.5</w:t>
            </w:r>
          </w:p>
        </w:tc>
        <w:tc>
          <w:tcPr>
            <w:tcW w:w="1593" w:type="dxa"/>
            <w:shd w:val="clear" w:color="auto" w:fill="auto"/>
            <w:vAlign w:val="center"/>
          </w:tcPr>
          <w:p w14:paraId="3D41B1B8" w14:textId="77777777" w:rsidR="009B2E2F" w:rsidRPr="00584D9D" w:rsidRDefault="009B2E2F" w:rsidP="00D55BA4">
            <w:pPr>
              <w:pStyle w:val="TableText"/>
            </w:pPr>
            <w:r w:rsidRPr="00584D9D">
              <w:t>Negri et al. (2020)</w:t>
            </w:r>
          </w:p>
        </w:tc>
      </w:tr>
      <w:tr w:rsidR="0050195B" w:rsidRPr="00584D9D" w14:paraId="0C8FFB10" w14:textId="77777777" w:rsidTr="001A59DD">
        <w:trPr>
          <w:cantSplit/>
        </w:trPr>
        <w:tc>
          <w:tcPr>
            <w:tcW w:w="11619" w:type="dxa"/>
            <w:gridSpan w:val="9"/>
            <w:tcBorders>
              <w:top w:val="nil"/>
              <w:bottom w:val="single" w:sz="4" w:space="0" w:color="auto"/>
            </w:tcBorders>
            <w:shd w:val="clear" w:color="auto" w:fill="auto"/>
            <w:vAlign w:val="center"/>
          </w:tcPr>
          <w:p w14:paraId="21D89CA5" w14:textId="74ECB810" w:rsidR="0050195B" w:rsidRPr="00584D9D" w:rsidRDefault="0050195B" w:rsidP="00D55BA4">
            <w:pPr>
              <w:pStyle w:val="TableText"/>
            </w:pPr>
            <w:r>
              <w:t>–</w:t>
            </w:r>
          </w:p>
        </w:tc>
        <w:tc>
          <w:tcPr>
            <w:tcW w:w="1417" w:type="dxa"/>
            <w:shd w:val="clear" w:color="auto" w:fill="auto"/>
            <w:vAlign w:val="center"/>
          </w:tcPr>
          <w:p w14:paraId="0DFE1C0B" w14:textId="77777777" w:rsidR="0050195B" w:rsidRPr="00902EFA" w:rsidRDefault="0050195B" w:rsidP="00D55BA4">
            <w:pPr>
              <w:pStyle w:val="TableText"/>
            </w:pPr>
            <w:r w:rsidRPr="00902EFA">
              <w:t>37.5</w:t>
            </w:r>
          </w:p>
        </w:tc>
        <w:tc>
          <w:tcPr>
            <w:tcW w:w="1593" w:type="dxa"/>
            <w:shd w:val="clear" w:color="auto" w:fill="auto"/>
            <w:vAlign w:val="center"/>
          </w:tcPr>
          <w:p w14:paraId="68868B04" w14:textId="56FFA06A" w:rsidR="0050195B" w:rsidRPr="00AA670A" w:rsidRDefault="0050195B" w:rsidP="00D55BA4">
            <w:pPr>
              <w:pStyle w:val="TableText"/>
              <w:rPr>
                <w:iCs/>
              </w:rPr>
            </w:pPr>
            <w:r w:rsidRPr="00B8589A">
              <w:rPr>
                <w:b/>
                <w:iCs/>
              </w:rPr>
              <w:t>Value used in SSD</w:t>
            </w:r>
          </w:p>
        </w:tc>
      </w:tr>
      <w:tr w:rsidR="009B2E2F" w:rsidRPr="00584D9D" w14:paraId="4D512E84" w14:textId="77777777" w:rsidTr="00A619EB">
        <w:trPr>
          <w:cantSplit/>
        </w:trPr>
        <w:tc>
          <w:tcPr>
            <w:tcW w:w="1555" w:type="dxa"/>
            <w:tcBorders>
              <w:bottom w:val="nil"/>
            </w:tcBorders>
            <w:shd w:val="clear" w:color="auto" w:fill="auto"/>
            <w:vAlign w:val="center"/>
          </w:tcPr>
          <w:p w14:paraId="1BDE8DF8" w14:textId="63BF21F7" w:rsidR="009B2E2F" w:rsidRPr="00584D9D" w:rsidRDefault="009B2E2F" w:rsidP="00D55BA4">
            <w:pPr>
              <w:pStyle w:val="TableText"/>
            </w:pPr>
            <w:r w:rsidRPr="00C755FE">
              <w:t xml:space="preserve">Cryptomonad </w:t>
            </w:r>
            <w:r>
              <w:t>(</w:t>
            </w:r>
            <w:proofErr w:type="spellStart"/>
            <w:r w:rsidRPr="00584D9D">
              <w:t>Cryptophyta</w:t>
            </w:r>
            <w:proofErr w:type="spellEnd"/>
            <w:r>
              <w:t>)</w:t>
            </w:r>
          </w:p>
        </w:tc>
        <w:tc>
          <w:tcPr>
            <w:tcW w:w="1417" w:type="dxa"/>
            <w:tcBorders>
              <w:bottom w:val="nil"/>
            </w:tcBorders>
            <w:shd w:val="clear" w:color="auto" w:fill="auto"/>
            <w:vAlign w:val="center"/>
          </w:tcPr>
          <w:p w14:paraId="43F936CA" w14:textId="66CED312" w:rsidR="009B2E2F" w:rsidRPr="00584D9D" w:rsidRDefault="009B2E2F" w:rsidP="00D55BA4">
            <w:pPr>
              <w:pStyle w:val="TableText"/>
            </w:pPr>
            <w:proofErr w:type="spellStart"/>
            <w:r w:rsidRPr="00584D9D">
              <w:rPr>
                <w:i/>
              </w:rPr>
              <w:t>Rhodomonas</w:t>
            </w:r>
            <w:proofErr w:type="spellEnd"/>
            <w:r w:rsidRPr="00584D9D">
              <w:rPr>
                <w:i/>
              </w:rPr>
              <w:t xml:space="preserve"> salina</w:t>
            </w:r>
          </w:p>
        </w:tc>
        <w:tc>
          <w:tcPr>
            <w:tcW w:w="1276" w:type="dxa"/>
            <w:tcBorders>
              <w:bottom w:val="nil"/>
            </w:tcBorders>
            <w:shd w:val="clear" w:color="auto" w:fill="auto"/>
            <w:vAlign w:val="center"/>
          </w:tcPr>
          <w:p w14:paraId="4AB7B91A"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0544EC7F" w14:textId="77777777" w:rsidR="009B2E2F" w:rsidRPr="00584D9D" w:rsidRDefault="009B2E2F" w:rsidP="00D55BA4">
            <w:pPr>
              <w:pStyle w:val="TableText"/>
            </w:pPr>
            <w:r w:rsidRPr="00584D9D">
              <w:t>3</w:t>
            </w:r>
          </w:p>
        </w:tc>
        <w:tc>
          <w:tcPr>
            <w:tcW w:w="851" w:type="dxa"/>
            <w:tcBorders>
              <w:bottom w:val="nil"/>
            </w:tcBorders>
            <w:shd w:val="clear" w:color="auto" w:fill="auto"/>
            <w:vAlign w:val="center"/>
          </w:tcPr>
          <w:p w14:paraId="403173A4"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442E3A90" w14:textId="428CB92E" w:rsidR="009B2E2F" w:rsidRPr="00584D9D" w:rsidRDefault="009B2E2F" w:rsidP="002626BA">
            <w:pPr>
              <w:pStyle w:val="TableText"/>
            </w:pPr>
            <w:r w:rsidRPr="00584D9D">
              <w:t>EC10</w:t>
            </w:r>
            <w:r w:rsidR="002626BA">
              <w:t xml:space="preserve"> </w:t>
            </w:r>
            <w:r w:rsidRPr="00584D9D">
              <w:t>(Growth rate)</w:t>
            </w:r>
          </w:p>
        </w:tc>
        <w:tc>
          <w:tcPr>
            <w:tcW w:w="1984" w:type="dxa"/>
            <w:tcBorders>
              <w:bottom w:val="nil"/>
            </w:tcBorders>
            <w:shd w:val="clear" w:color="auto" w:fill="auto"/>
            <w:vAlign w:val="center"/>
          </w:tcPr>
          <w:p w14:paraId="3C8973F0" w14:textId="77777777" w:rsidR="009B2E2F" w:rsidRPr="00584D9D" w:rsidRDefault="009B2E2F" w:rsidP="00D55BA4">
            <w:pPr>
              <w:pStyle w:val="TableText"/>
            </w:pPr>
            <w:r w:rsidRPr="00584D9D">
              <w:t>Guillard’s f/2 medium</w:t>
            </w:r>
          </w:p>
        </w:tc>
        <w:tc>
          <w:tcPr>
            <w:tcW w:w="992" w:type="dxa"/>
            <w:tcBorders>
              <w:bottom w:val="nil"/>
            </w:tcBorders>
            <w:shd w:val="clear" w:color="auto" w:fill="auto"/>
            <w:vAlign w:val="center"/>
          </w:tcPr>
          <w:p w14:paraId="00319EED" w14:textId="77777777" w:rsidR="009B2E2F" w:rsidRPr="00584D9D" w:rsidRDefault="009B2E2F" w:rsidP="00D55BA4">
            <w:pPr>
              <w:pStyle w:val="TableText"/>
            </w:pPr>
            <w:r w:rsidRPr="00584D9D">
              <w:t>26.0 ± 0.6</w:t>
            </w:r>
          </w:p>
        </w:tc>
        <w:tc>
          <w:tcPr>
            <w:tcW w:w="851" w:type="dxa"/>
            <w:tcBorders>
              <w:bottom w:val="nil"/>
            </w:tcBorders>
            <w:shd w:val="clear" w:color="auto" w:fill="auto"/>
            <w:vAlign w:val="center"/>
          </w:tcPr>
          <w:p w14:paraId="0AAA8A52" w14:textId="77777777" w:rsidR="009B2E2F" w:rsidRPr="00584D9D" w:rsidRDefault="009B2E2F" w:rsidP="00D55BA4">
            <w:pPr>
              <w:pStyle w:val="TableText"/>
            </w:pPr>
            <w:r w:rsidRPr="00584D9D">
              <w:t>8.5 ± 0.4</w:t>
            </w:r>
          </w:p>
        </w:tc>
        <w:tc>
          <w:tcPr>
            <w:tcW w:w="1417" w:type="dxa"/>
            <w:shd w:val="clear" w:color="auto" w:fill="auto"/>
            <w:vAlign w:val="center"/>
          </w:tcPr>
          <w:p w14:paraId="4B892350" w14:textId="77777777" w:rsidR="009B2E2F" w:rsidRPr="00902EFA" w:rsidRDefault="009B2E2F" w:rsidP="00D55BA4">
            <w:pPr>
              <w:pStyle w:val="TableText"/>
            </w:pPr>
            <w:r w:rsidRPr="00902EFA">
              <w:t>38.4</w:t>
            </w:r>
          </w:p>
        </w:tc>
        <w:tc>
          <w:tcPr>
            <w:tcW w:w="1593" w:type="dxa"/>
            <w:shd w:val="clear" w:color="auto" w:fill="auto"/>
            <w:vAlign w:val="center"/>
          </w:tcPr>
          <w:p w14:paraId="671C8CC4" w14:textId="77777777" w:rsidR="009B2E2F" w:rsidRPr="00584D9D" w:rsidRDefault="009B2E2F" w:rsidP="00D55BA4">
            <w:pPr>
              <w:pStyle w:val="TableText"/>
            </w:pPr>
            <w:r w:rsidRPr="00584D9D">
              <w:t>Negri et al. (2020)</w:t>
            </w:r>
          </w:p>
        </w:tc>
      </w:tr>
      <w:tr w:rsidR="0050195B" w:rsidRPr="00584D9D" w14:paraId="10F6C295" w14:textId="77777777" w:rsidTr="001A59DD">
        <w:trPr>
          <w:cantSplit/>
        </w:trPr>
        <w:tc>
          <w:tcPr>
            <w:tcW w:w="11619" w:type="dxa"/>
            <w:gridSpan w:val="9"/>
            <w:tcBorders>
              <w:top w:val="nil"/>
              <w:bottom w:val="single" w:sz="4" w:space="0" w:color="auto"/>
            </w:tcBorders>
            <w:shd w:val="clear" w:color="auto" w:fill="auto"/>
            <w:vAlign w:val="center"/>
          </w:tcPr>
          <w:p w14:paraId="3DFED66B" w14:textId="3C58DA1B" w:rsidR="0050195B" w:rsidRPr="00584D9D" w:rsidRDefault="0050195B" w:rsidP="00D55BA4">
            <w:pPr>
              <w:pStyle w:val="TableText"/>
            </w:pPr>
            <w:r>
              <w:t>–</w:t>
            </w:r>
          </w:p>
        </w:tc>
        <w:tc>
          <w:tcPr>
            <w:tcW w:w="1417" w:type="dxa"/>
            <w:shd w:val="clear" w:color="auto" w:fill="auto"/>
            <w:vAlign w:val="center"/>
          </w:tcPr>
          <w:p w14:paraId="74749ED6" w14:textId="77777777" w:rsidR="0050195B" w:rsidRPr="00902EFA" w:rsidRDefault="0050195B" w:rsidP="00D55BA4">
            <w:pPr>
              <w:pStyle w:val="TableText"/>
            </w:pPr>
            <w:r w:rsidRPr="00902EFA">
              <w:t>38.4</w:t>
            </w:r>
          </w:p>
        </w:tc>
        <w:tc>
          <w:tcPr>
            <w:tcW w:w="1593" w:type="dxa"/>
            <w:shd w:val="clear" w:color="auto" w:fill="auto"/>
            <w:vAlign w:val="center"/>
          </w:tcPr>
          <w:p w14:paraId="38FE5B06" w14:textId="20DF6D27" w:rsidR="0050195B" w:rsidRPr="00AA670A" w:rsidRDefault="0050195B" w:rsidP="00D55BA4">
            <w:pPr>
              <w:pStyle w:val="TableText"/>
              <w:rPr>
                <w:b/>
                <w:iCs/>
              </w:rPr>
            </w:pPr>
            <w:r w:rsidRPr="00AA670A">
              <w:rPr>
                <w:b/>
                <w:iCs/>
              </w:rPr>
              <w:t>Value used in SSD</w:t>
            </w:r>
          </w:p>
        </w:tc>
      </w:tr>
      <w:tr w:rsidR="009B2E2F" w:rsidRPr="00584D9D" w14:paraId="77DF9A61" w14:textId="77777777" w:rsidTr="00A619EB">
        <w:trPr>
          <w:cantSplit/>
        </w:trPr>
        <w:tc>
          <w:tcPr>
            <w:tcW w:w="1555" w:type="dxa"/>
            <w:tcBorders>
              <w:bottom w:val="nil"/>
            </w:tcBorders>
            <w:shd w:val="clear" w:color="auto" w:fill="auto"/>
            <w:vAlign w:val="center"/>
          </w:tcPr>
          <w:p w14:paraId="6A861EF2" w14:textId="1514C0B6" w:rsidR="009B2E2F" w:rsidRPr="00584D9D" w:rsidRDefault="009B2E2F" w:rsidP="00D55BA4">
            <w:pPr>
              <w:pStyle w:val="TableText"/>
            </w:pPr>
            <w:r w:rsidRPr="00584D9D">
              <w:t>Dinoflagellate</w:t>
            </w:r>
            <w:r w:rsidRPr="00584D9D" w:rsidDel="005826A2">
              <w:t xml:space="preserve"> </w:t>
            </w:r>
            <w:r>
              <w:t>(</w:t>
            </w:r>
            <w:proofErr w:type="spellStart"/>
            <w:r w:rsidRPr="00584D9D">
              <w:t>Dinoflagellata</w:t>
            </w:r>
            <w:proofErr w:type="spellEnd"/>
            <w:r>
              <w:t>)</w:t>
            </w:r>
          </w:p>
        </w:tc>
        <w:tc>
          <w:tcPr>
            <w:tcW w:w="1417" w:type="dxa"/>
            <w:tcBorders>
              <w:bottom w:val="nil"/>
            </w:tcBorders>
            <w:shd w:val="clear" w:color="auto" w:fill="auto"/>
            <w:vAlign w:val="center"/>
          </w:tcPr>
          <w:p w14:paraId="365E2D0A" w14:textId="66FB4974" w:rsidR="009B2E2F" w:rsidRPr="00584D9D" w:rsidRDefault="009B2E2F" w:rsidP="00D55BA4">
            <w:pPr>
              <w:pStyle w:val="TableText"/>
            </w:pPr>
            <w:proofErr w:type="spellStart"/>
            <w:r w:rsidRPr="00584D9D">
              <w:rPr>
                <w:i/>
              </w:rPr>
              <w:t>Cladocopium</w:t>
            </w:r>
            <w:proofErr w:type="spellEnd"/>
            <w:r w:rsidRPr="00584D9D">
              <w:rPr>
                <w:i/>
              </w:rPr>
              <w:t xml:space="preserve"> </w:t>
            </w:r>
            <w:proofErr w:type="spellStart"/>
            <w:r w:rsidRPr="00584D9D">
              <w:rPr>
                <w:i/>
              </w:rPr>
              <w:t>goreaui</w:t>
            </w:r>
            <w:proofErr w:type="spellEnd"/>
          </w:p>
        </w:tc>
        <w:tc>
          <w:tcPr>
            <w:tcW w:w="1276" w:type="dxa"/>
            <w:tcBorders>
              <w:bottom w:val="nil"/>
            </w:tcBorders>
            <w:shd w:val="clear" w:color="auto" w:fill="auto"/>
            <w:vAlign w:val="center"/>
          </w:tcPr>
          <w:p w14:paraId="55F2AD87"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59F7E62A" w14:textId="77777777" w:rsidR="009B2E2F" w:rsidRPr="00584D9D" w:rsidRDefault="009B2E2F" w:rsidP="00D55BA4">
            <w:pPr>
              <w:pStyle w:val="TableText"/>
            </w:pPr>
            <w:r w:rsidRPr="00584D9D">
              <w:t>14</w:t>
            </w:r>
          </w:p>
        </w:tc>
        <w:tc>
          <w:tcPr>
            <w:tcW w:w="851" w:type="dxa"/>
            <w:tcBorders>
              <w:bottom w:val="nil"/>
            </w:tcBorders>
            <w:shd w:val="clear" w:color="auto" w:fill="auto"/>
            <w:vAlign w:val="center"/>
          </w:tcPr>
          <w:p w14:paraId="1645B619"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0B679296" w14:textId="0AC26357" w:rsidR="009B2E2F" w:rsidRPr="00584D9D" w:rsidRDefault="009B2E2F" w:rsidP="002626BA">
            <w:pPr>
              <w:pStyle w:val="TableText"/>
            </w:pPr>
            <w:r w:rsidRPr="00584D9D">
              <w:t>EC10</w:t>
            </w:r>
            <w:r w:rsidR="002626BA">
              <w:t xml:space="preserve"> </w:t>
            </w:r>
            <w:r w:rsidRPr="00584D9D">
              <w:t>(Growth rate)</w:t>
            </w:r>
          </w:p>
        </w:tc>
        <w:tc>
          <w:tcPr>
            <w:tcW w:w="1984" w:type="dxa"/>
            <w:tcBorders>
              <w:bottom w:val="nil"/>
            </w:tcBorders>
            <w:shd w:val="clear" w:color="auto" w:fill="auto"/>
            <w:vAlign w:val="center"/>
          </w:tcPr>
          <w:p w14:paraId="1F6F2C22" w14:textId="77777777" w:rsidR="009B2E2F" w:rsidRPr="00584D9D" w:rsidRDefault="009B2E2F" w:rsidP="00D55BA4">
            <w:pPr>
              <w:pStyle w:val="TableText"/>
            </w:pPr>
            <w:r w:rsidRPr="00584D9D">
              <w:t>IMK nutrient media</w:t>
            </w:r>
          </w:p>
        </w:tc>
        <w:tc>
          <w:tcPr>
            <w:tcW w:w="992" w:type="dxa"/>
            <w:tcBorders>
              <w:bottom w:val="nil"/>
            </w:tcBorders>
            <w:shd w:val="clear" w:color="auto" w:fill="auto"/>
            <w:vAlign w:val="center"/>
          </w:tcPr>
          <w:p w14:paraId="06FCCB34" w14:textId="77777777" w:rsidR="009B2E2F" w:rsidRPr="00584D9D" w:rsidRDefault="009B2E2F" w:rsidP="00D55BA4">
            <w:pPr>
              <w:pStyle w:val="TableText"/>
            </w:pPr>
            <w:r w:rsidRPr="00584D9D">
              <w:t>27 ± 0.6</w:t>
            </w:r>
          </w:p>
        </w:tc>
        <w:tc>
          <w:tcPr>
            <w:tcW w:w="851" w:type="dxa"/>
            <w:tcBorders>
              <w:bottom w:val="nil"/>
            </w:tcBorders>
            <w:shd w:val="clear" w:color="auto" w:fill="auto"/>
            <w:vAlign w:val="center"/>
          </w:tcPr>
          <w:p w14:paraId="2B0C3BDF" w14:textId="77777777" w:rsidR="009B2E2F" w:rsidRPr="00584D9D" w:rsidRDefault="009B2E2F" w:rsidP="00D55BA4">
            <w:pPr>
              <w:pStyle w:val="TableText"/>
            </w:pPr>
            <w:r w:rsidRPr="00584D9D">
              <w:t>7.8 ± 0.5</w:t>
            </w:r>
          </w:p>
        </w:tc>
        <w:tc>
          <w:tcPr>
            <w:tcW w:w="1417" w:type="dxa"/>
            <w:shd w:val="clear" w:color="auto" w:fill="auto"/>
            <w:vAlign w:val="center"/>
          </w:tcPr>
          <w:p w14:paraId="0F619369" w14:textId="77777777" w:rsidR="009B2E2F" w:rsidRPr="00902EFA" w:rsidRDefault="009B2E2F" w:rsidP="00D55BA4">
            <w:pPr>
              <w:pStyle w:val="TableText"/>
            </w:pPr>
            <w:r w:rsidRPr="00902EFA">
              <w:t>257</w:t>
            </w:r>
          </w:p>
        </w:tc>
        <w:tc>
          <w:tcPr>
            <w:tcW w:w="1593" w:type="dxa"/>
            <w:shd w:val="clear" w:color="auto" w:fill="auto"/>
            <w:vAlign w:val="center"/>
          </w:tcPr>
          <w:p w14:paraId="2D60DBDE" w14:textId="77777777" w:rsidR="009B2E2F" w:rsidRPr="00584D9D" w:rsidRDefault="009B2E2F" w:rsidP="00D55BA4">
            <w:pPr>
              <w:pStyle w:val="TableText"/>
            </w:pPr>
            <w:r w:rsidRPr="00584D9D">
              <w:t>Negri et al. (2020)</w:t>
            </w:r>
          </w:p>
        </w:tc>
      </w:tr>
      <w:tr w:rsidR="0050195B" w:rsidRPr="00584D9D" w14:paraId="2C877C52" w14:textId="77777777" w:rsidTr="001A59DD">
        <w:trPr>
          <w:cantSplit/>
        </w:trPr>
        <w:tc>
          <w:tcPr>
            <w:tcW w:w="11619" w:type="dxa"/>
            <w:gridSpan w:val="9"/>
            <w:tcBorders>
              <w:top w:val="nil"/>
              <w:bottom w:val="single" w:sz="4" w:space="0" w:color="auto"/>
            </w:tcBorders>
            <w:shd w:val="clear" w:color="auto" w:fill="auto"/>
            <w:vAlign w:val="center"/>
          </w:tcPr>
          <w:p w14:paraId="1188517D" w14:textId="1EE908EB" w:rsidR="0050195B" w:rsidRPr="00584D9D" w:rsidRDefault="0050195B" w:rsidP="00D55BA4">
            <w:pPr>
              <w:pStyle w:val="TableText"/>
            </w:pPr>
            <w:r>
              <w:t>–</w:t>
            </w:r>
          </w:p>
        </w:tc>
        <w:tc>
          <w:tcPr>
            <w:tcW w:w="1417" w:type="dxa"/>
            <w:shd w:val="clear" w:color="auto" w:fill="auto"/>
            <w:vAlign w:val="center"/>
          </w:tcPr>
          <w:p w14:paraId="35AAD6F1" w14:textId="77777777" w:rsidR="0050195B" w:rsidRPr="00902EFA" w:rsidRDefault="0050195B" w:rsidP="00D55BA4">
            <w:pPr>
              <w:pStyle w:val="TableText"/>
            </w:pPr>
            <w:r w:rsidRPr="00902EFA">
              <w:t>257</w:t>
            </w:r>
          </w:p>
        </w:tc>
        <w:tc>
          <w:tcPr>
            <w:tcW w:w="1593" w:type="dxa"/>
            <w:shd w:val="clear" w:color="auto" w:fill="auto"/>
            <w:vAlign w:val="center"/>
          </w:tcPr>
          <w:p w14:paraId="7604ADAB" w14:textId="491BAC16" w:rsidR="0050195B" w:rsidRPr="00AA670A" w:rsidRDefault="0050195B" w:rsidP="00D55BA4">
            <w:pPr>
              <w:pStyle w:val="TableText"/>
              <w:rPr>
                <w:iCs/>
              </w:rPr>
            </w:pPr>
            <w:r w:rsidRPr="00AA670A">
              <w:rPr>
                <w:b/>
                <w:iCs/>
              </w:rPr>
              <w:t>Value used in SSD</w:t>
            </w:r>
          </w:p>
        </w:tc>
      </w:tr>
      <w:tr w:rsidR="009B2E2F" w:rsidRPr="00584D9D" w14:paraId="3F75C4F4" w14:textId="77777777" w:rsidTr="00A619EB">
        <w:trPr>
          <w:cantSplit/>
        </w:trPr>
        <w:tc>
          <w:tcPr>
            <w:tcW w:w="1555" w:type="dxa"/>
            <w:tcBorders>
              <w:bottom w:val="nil"/>
            </w:tcBorders>
            <w:shd w:val="clear" w:color="auto" w:fill="auto"/>
            <w:vAlign w:val="center"/>
          </w:tcPr>
          <w:p w14:paraId="2FB5818A" w14:textId="3652C0EF" w:rsidR="009B2E2F" w:rsidRPr="00584D9D" w:rsidRDefault="009B2E2F" w:rsidP="00D55BA4">
            <w:pPr>
              <w:pStyle w:val="TableText"/>
            </w:pPr>
            <w:r>
              <w:t>Golden-brown micro</w:t>
            </w:r>
            <w:r w:rsidRPr="00584D9D">
              <w:t>alga</w:t>
            </w:r>
            <w:r w:rsidRPr="00584D9D" w:rsidDel="005826A2">
              <w:t xml:space="preserve"> </w:t>
            </w:r>
            <w:r>
              <w:t>(</w:t>
            </w:r>
            <w:proofErr w:type="spellStart"/>
            <w:r w:rsidRPr="00584D9D">
              <w:t>Haptophyta</w:t>
            </w:r>
            <w:proofErr w:type="spellEnd"/>
            <w:r>
              <w:t>)</w:t>
            </w:r>
          </w:p>
        </w:tc>
        <w:tc>
          <w:tcPr>
            <w:tcW w:w="1417" w:type="dxa"/>
            <w:tcBorders>
              <w:bottom w:val="nil"/>
            </w:tcBorders>
            <w:shd w:val="clear" w:color="auto" w:fill="auto"/>
            <w:vAlign w:val="center"/>
          </w:tcPr>
          <w:p w14:paraId="61376439" w14:textId="68F0E58E" w:rsidR="009B2E2F" w:rsidRPr="00584D9D" w:rsidRDefault="009B2E2F" w:rsidP="00D55BA4">
            <w:pPr>
              <w:pStyle w:val="TableText"/>
            </w:pPr>
            <w:proofErr w:type="spellStart"/>
            <w:r w:rsidRPr="00584D9D">
              <w:rPr>
                <w:i/>
              </w:rPr>
              <w:t>Tisochrysis</w:t>
            </w:r>
            <w:proofErr w:type="spellEnd"/>
            <w:r w:rsidRPr="00584D9D">
              <w:rPr>
                <w:i/>
              </w:rPr>
              <w:t xml:space="preserve"> lutea</w:t>
            </w:r>
          </w:p>
        </w:tc>
        <w:tc>
          <w:tcPr>
            <w:tcW w:w="1276" w:type="dxa"/>
            <w:tcBorders>
              <w:bottom w:val="nil"/>
            </w:tcBorders>
            <w:shd w:val="clear" w:color="auto" w:fill="auto"/>
            <w:vAlign w:val="center"/>
          </w:tcPr>
          <w:p w14:paraId="250CB76D" w14:textId="77777777" w:rsidR="009B2E2F" w:rsidRPr="00584D9D" w:rsidRDefault="009B2E2F" w:rsidP="00D55BA4">
            <w:pPr>
              <w:pStyle w:val="TableText"/>
            </w:pPr>
            <w:r w:rsidRPr="00584D9D">
              <w:t>Exponential growth phase</w:t>
            </w:r>
          </w:p>
        </w:tc>
        <w:tc>
          <w:tcPr>
            <w:tcW w:w="992" w:type="dxa"/>
            <w:tcBorders>
              <w:bottom w:val="nil"/>
            </w:tcBorders>
            <w:shd w:val="clear" w:color="auto" w:fill="auto"/>
            <w:vAlign w:val="center"/>
          </w:tcPr>
          <w:p w14:paraId="73E58678" w14:textId="77777777" w:rsidR="009B2E2F" w:rsidRPr="00584D9D" w:rsidRDefault="009B2E2F" w:rsidP="00D55BA4">
            <w:pPr>
              <w:pStyle w:val="TableText"/>
            </w:pPr>
            <w:r w:rsidRPr="00584D9D">
              <w:t>3</w:t>
            </w:r>
          </w:p>
        </w:tc>
        <w:tc>
          <w:tcPr>
            <w:tcW w:w="851" w:type="dxa"/>
            <w:tcBorders>
              <w:bottom w:val="nil"/>
            </w:tcBorders>
            <w:shd w:val="clear" w:color="auto" w:fill="auto"/>
            <w:vAlign w:val="center"/>
          </w:tcPr>
          <w:p w14:paraId="47649A70"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79858371" w14:textId="1734468E" w:rsidR="009B2E2F" w:rsidRPr="00584D9D" w:rsidRDefault="009B2E2F" w:rsidP="002626BA">
            <w:pPr>
              <w:pStyle w:val="TableText"/>
            </w:pPr>
            <w:r w:rsidRPr="00584D9D">
              <w:t>EC10</w:t>
            </w:r>
            <w:r w:rsidR="002626BA">
              <w:t xml:space="preserve"> </w:t>
            </w:r>
            <w:r w:rsidRPr="00584D9D">
              <w:t>(Growth rate)</w:t>
            </w:r>
          </w:p>
        </w:tc>
        <w:tc>
          <w:tcPr>
            <w:tcW w:w="1984" w:type="dxa"/>
            <w:tcBorders>
              <w:bottom w:val="nil"/>
            </w:tcBorders>
            <w:shd w:val="clear" w:color="auto" w:fill="auto"/>
            <w:vAlign w:val="center"/>
          </w:tcPr>
          <w:p w14:paraId="12106E34" w14:textId="77777777" w:rsidR="009B2E2F" w:rsidRPr="00584D9D" w:rsidRDefault="009B2E2F" w:rsidP="00D55BA4">
            <w:pPr>
              <w:pStyle w:val="TableText"/>
            </w:pPr>
            <w:r w:rsidRPr="00584D9D">
              <w:t>EDTA-free Guillard’s f/2 medium</w:t>
            </w:r>
          </w:p>
        </w:tc>
        <w:tc>
          <w:tcPr>
            <w:tcW w:w="992" w:type="dxa"/>
            <w:tcBorders>
              <w:bottom w:val="nil"/>
            </w:tcBorders>
            <w:shd w:val="clear" w:color="auto" w:fill="auto"/>
            <w:vAlign w:val="center"/>
          </w:tcPr>
          <w:p w14:paraId="1B6086F3" w14:textId="5C9DBA7A" w:rsidR="009B2E2F" w:rsidRPr="00584D9D" w:rsidRDefault="009B2E2F" w:rsidP="00D55BA4">
            <w:pPr>
              <w:pStyle w:val="TableText"/>
            </w:pPr>
            <w:r w:rsidRPr="00584D9D">
              <w:t>27</w:t>
            </w:r>
            <w:r>
              <w:t>–</w:t>
            </w:r>
            <w:r w:rsidRPr="00584D9D">
              <w:t>29</w:t>
            </w:r>
          </w:p>
        </w:tc>
        <w:tc>
          <w:tcPr>
            <w:tcW w:w="851" w:type="dxa"/>
            <w:tcBorders>
              <w:bottom w:val="nil"/>
            </w:tcBorders>
            <w:shd w:val="clear" w:color="auto" w:fill="auto"/>
            <w:vAlign w:val="center"/>
          </w:tcPr>
          <w:p w14:paraId="6125EBBF" w14:textId="234498A5" w:rsidR="009B2E2F" w:rsidRPr="00584D9D" w:rsidRDefault="009B2E2F" w:rsidP="00D55BA4">
            <w:pPr>
              <w:pStyle w:val="TableText"/>
            </w:pPr>
            <w:r w:rsidRPr="00584D9D">
              <w:t>7.9</w:t>
            </w:r>
            <w:r>
              <w:t>–</w:t>
            </w:r>
            <w:r w:rsidRPr="00584D9D">
              <w:t>8.3</w:t>
            </w:r>
          </w:p>
        </w:tc>
        <w:tc>
          <w:tcPr>
            <w:tcW w:w="1417" w:type="dxa"/>
            <w:shd w:val="clear" w:color="auto" w:fill="auto"/>
            <w:vAlign w:val="center"/>
          </w:tcPr>
          <w:p w14:paraId="06D1E591" w14:textId="77777777" w:rsidR="009B2E2F" w:rsidRPr="00902EFA" w:rsidRDefault="009B2E2F" w:rsidP="00D55BA4">
            <w:pPr>
              <w:pStyle w:val="TableText"/>
            </w:pPr>
            <w:r w:rsidRPr="00902EFA">
              <w:t>60.2</w:t>
            </w:r>
          </w:p>
        </w:tc>
        <w:tc>
          <w:tcPr>
            <w:tcW w:w="1593" w:type="dxa"/>
            <w:shd w:val="clear" w:color="auto" w:fill="auto"/>
            <w:vAlign w:val="center"/>
          </w:tcPr>
          <w:p w14:paraId="3D60A3B9" w14:textId="77777777" w:rsidR="009B2E2F" w:rsidRPr="00584D9D" w:rsidRDefault="009B2E2F" w:rsidP="00D55BA4">
            <w:pPr>
              <w:pStyle w:val="TableText"/>
            </w:pPr>
            <w:r w:rsidRPr="00584D9D">
              <w:t>Negri et al. (2020)</w:t>
            </w:r>
          </w:p>
        </w:tc>
      </w:tr>
      <w:tr w:rsidR="0050195B" w:rsidRPr="00584D9D" w14:paraId="6FF3A8E3" w14:textId="77777777" w:rsidTr="001A59DD">
        <w:trPr>
          <w:cantSplit/>
        </w:trPr>
        <w:tc>
          <w:tcPr>
            <w:tcW w:w="11619" w:type="dxa"/>
            <w:gridSpan w:val="9"/>
            <w:tcBorders>
              <w:top w:val="nil"/>
              <w:bottom w:val="single" w:sz="4" w:space="0" w:color="auto"/>
            </w:tcBorders>
            <w:shd w:val="clear" w:color="auto" w:fill="auto"/>
            <w:vAlign w:val="center"/>
          </w:tcPr>
          <w:p w14:paraId="617A9814" w14:textId="3452D6DA" w:rsidR="0050195B" w:rsidRPr="00584D9D" w:rsidRDefault="0050195B" w:rsidP="00D55BA4">
            <w:pPr>
              <w:pStyle w:val="TableText"/>
            </w:pPr>
            <w:r>
              <w:t>–</w:t>
            </w:r>
          </w:p>
        </w:tc>
        <w:tc>
          <w:tcPr>
            <w:tcW w:w="1417" w:type="dxa"/>
            <w:shd w:val="clear" w:color="auto" w:fill="auto"/>
            <w:vAlign w:val="center"/>
          </w:tcPr>
          <w:p w14:paraId="37291766" w14:textId="77777777" w:rsidR="0050195B" w:rsidRPr="00902EFA" w:rsidRDefault="0050195B" w:rsidP="00D55BA4">
            <w:pPr>
              <w:pStyle w:val="TableText"/>
            </w:pPr>
            <w:r w:rsidRPr="00902EFA">
              <w:t>60.2</w:t>
            </w:r>
          </w:p>
        </w:tc>
        <w:tc>
          <w:tcPr>
            <w:tcW w:w="1593" w:type="dxa"/>
            <w:shd w:val="clear" w:color="auto" w:fill="auto"/>
            <w:vAlign w:val="center"/>
          </w:tcPr>
          <w:p w14:paraId="3E737F9E" w14:textId="7CE82970" w:rsidR="0050195B" w:rsidRPr="00AA670A" w:rsidRDefault="0050195B" w:rsidP="00D55BA4">
            <w:pPr>
              <w:pStyle w:val="TableText"/>
              <w:rPr>
                <w:iCs/>
              </w:rPr>
            </w:pPr>
            <w:r w:rsidRPr="00AA670A">
              <w:rPr>
                <w:b/>
                <w:iCs/>
              </w:rPr>
              <w:t>Value used in SSD</w:t>
            </w:r>
          </w:p>
        </w:tc>
      </w:tr>
      <w:tr w:rsidR="009B2E2F" w:rsidRPr="00584D9D" w14:paraId="150D19BF" w14:textId="77777777" w:rsidTr="00A619EB">
        <w:trPr>
          <w:cantSplit/>
        </w:trPr>
        <w:tc>
          <w:tcPr>
            <w:tcW w:w="1555" w:type="dxa"/>
            <w:tcBorders>
              <w:bottom w:val="nil"/>
            </w:tcBorders>
            <w:shd w:val="clear" w:color="auto" w:fill="auto"/>
            <w:vAlign w:val="center"/>
          </w:tcPr>
          <w:p w14:paraId="1463CDBD" w14:textId="218C80F6" w:rsidR="009B2E2F" w:rsidRPr="00584D9D" w:rsidRDefault="009B2E2F" w:rsidP="00D55BA4">
            <w:pPr>
              <w:pStyle w:val="TableText"/>
            </w:pPr>
            <w:r>
              <w:t>Golden-brown microalga (</w:t>
            </w:r>
            <w:proofErr w:type="spellStart"/>
            <w:r w:rsidRPr="00584D9D">
              <w:t>Haptophyta</w:t>
            </w:r>
            <w:proofErr w:type="spellEnd"/>
            <w:r>
              <w:t>)</w:t>
            </w:r>
          </w:p>
        </w:tc>
        <w:tc>
          <w:tcPr>
            <w:tcW w:w="1417" w:type="dxa"/>
            <w:tcBorders>
              <w:bottom w:val="nil"/>
            </w:tcBorders>
            <w:shd w:val="clear" w:color="auto" w:fill="auto"/>
            <w:vAlign w:val="center"/>
          </w:tcPr>
          <w:p w14:paraId="53D89337" w14:textId="2CB37436" w:rsidR="009B2E2F" w:rsidRPr="00584D9D" w:rsidRDefault="009B2E2F" w:rsidP="00D55BA4">
            <w:pPr>
              <w:pStyle w:val="TableText"/>
            </w:pPr>
            <w:proofErr w:type="spellStart"/>
            <w:r w:rsidRPr="00C44C78">
              <w:rPr>
                <w:i/>
                <w:iCs/>
              </w:rPr>
              <w:t>Isochrysis</w:t>
            </w:r>
            <w:proofErr w:type="spellEnd"/>
            <w:r w:rsidRPr="00C44C78">
              <w:rPr>
                <w:i/>
                <w:iCs/>
              </w:rPr>
              <w:t xml:space="preserve"> </w:t>
            </w:r>
            <w:proofErr w:type="spellStart"/>
            <w:r w:rsidRPr="00C44C78">
              <w:rPr>
                <w:i/>
                <w:iCs/>
              </w:rPr>
              <w:t>galbana</w:t>
            </w:r>
            <w:proofErr w:type="spellEnd"/>
          </w:p>
        </w:tc>
        <w:tc>
          <w:tcPr>
            <w:tcW w:w="1276" w:type="dxa"/>
            <w:tcBorders>
              <w:bottom w:val="nil"/>
            </w:tcBorders>
            <w:shd w:val="clear" w:color="auto" w:fill="auto"/>
            <w:vAlign w:val="center"/>
          </w:tcPr>
          <w:p w14:paraId="369490BA" w14:textId="0D638C88" w:rsidR="009B2E2F" w:rsidRPr="00584D9D" w:rsidRDefault="009B2E2F" w:rsidP="00D55BA4">
            <w:pPr>
              <w:pStyle w:val="TableText"/>
            </w:pPr>
            <w:r>
              <w:t>–</w:t>
            </w:r>
          </w:p>
        </w:tc>
        <w:tc>
          <w:tcPr>
            <w:tcW w:w="992" w:type="dxa"/>
            <w:tcBorders>
              <w:bottom w:val="nil"/>
            </w:tcBorders>
            <w:shd w:val="clear" w:color="auto" w:fill="auto"/>
            <w:vAlign w:val="center"/>
          </w:tcPr>
          <w:p w14:paraId="7C81110C" w14:textId="77777777" w:rsidR="009B2E2F" w:rsidRPr="00584D9D" w:rsidRDefault="009B2E2F" w:rsidP="00D55BA4">
            <w:pPr>
              <w:pStyle w:val="TableText"/>
            </w:pPr>
            <w:r>
              <w:t>10</w:t>
            </w:r>
          </w:p>
        </w:tc>
        <w:tc>
          <w:tcPr>
            <w:tcW w:w="851" w:type="dxa"/>
            <w:tcBorders>
              <w:bottom w:val="nil"/>
            </w:tcBorders>
            <w:shd w:val="clear" w:color="auto" w:fill="auto"/>
            <w:vAlign w:val="center"/>
          </w:tcPr>
          <w:p w14:paraId="7E78059F" w14:textId="77777777" w:rsidR="009B2E2F" w:rsidRPr="00584D9D" w:rsidRDefault="009B2E2F" w:rsidP="00D55BA4">
            <w:pPr>
              <w:pStyle w:val="TableText"/>
            </w:pPr>
            <w:r>
              <w:t>Chronic</w:t>
            </w:r>
          </w:p>
        </w:tc>
        <w:tc>
          <w:tcPr>
            <w:tcW w:w="1701" w:type="dxa"/>
            <w:tcBorders>
              <w:bottom w:val="nil"/>
            </w:tcBorders>
            <w:shd w:val="clear" w:color="auto" w:fill="auto"/>
            <w:vAlign w:val="center"/>
          </w:tcPr>
          <w:p w14:paraId="5D7CA629" w14:textId="0D4DE65F" w:rsidR="009B2E2F" w:rsidRPr="00584D9D" w:rsidRDefault="009B2E2F" w:rsidP="002626BA">
            <w:pPr>
              <w:pStyle w:val="TableText"/>
            </w:pPr>
            <w:r>
              <w:t>EC50</w:t>
            </w:r>
            <w:r w:rsidR="002626BA">
              <w:t xml:space="preserve"> </w:t>
            </w:r>
            <w:r>
              <w:t>(Cell density)</w:t>
            </w:r>
          </w:p>
        </w:tc>
        <w:tc>
          <w:tcPr>
            <w:tcW w:w="1984" w:type="dxa"/>
            <w:tcBorders>
              <w:bottom w:val="nil"/>
            </w:tcBorders>
            <w:shd w:val="clear" w:color="auto" w:fill="auto"/>
            <w:vAlign w:val="center"/>
          </w:tcPr>
          <w:p w14:paraId="11FF6769" w14:textId="77777777" w:rsidR="009B2E2F" w:rsidRPr="00584D9D" w:rsidRDefault="009B2E2F" w:rsidP="00D55BA4">
            <w:pPr>
              <w:pStyle w:val="TableText"/>
            </w:pPr>
            <w:r w:rsidRPr="00B653CD">
              <w:t>Synthetic salt water or filtered natural salt water</w:t>
            </w:r>
          </w:p>
        </w:tc>
        <w:tc>
          <w:tcPr>
            <w:tcW w:w="992" w:type="dxa"/>
            <w:tcBorders>
              <w:bottom w:val="nil"/>
            </w:tcBorders>
            <w:shd w:val="clear" w:color="auto" w:fill="auto"/>
            <w:vAlign w:val="center"/>
          </w:tcPr>
          <w:p w14:paraId="0E2EEBEF" w14:textId="77777777" w:rsidR="009B2E2F" w:rsidRPr="00584D9D" w:rsidRDefault="009B2E2F" w:rsidP="00D55BA4">
            <w:pPr>
              <w:pStyle w:val="TableText"/>
            </w:pPr>
            <w:r w:rsidRPr="00B653CD">
              <w:t>30 ± 5</w:t>
            </w:r>
          </w:p>
        </w:tc>
        <w:tc>
          <w:tcPr>
            <w:tcW w:w="851" w:type="dxa"/>
            <w:tcBorders>
              <w:bottom w:val="nil"/>
            </w:tcBorders>
            <w:shd w:val="clear" w:color="auto" w:fill="auto"/>
            <w:vAlign w:val="center"/>
          </w:tcPr>
          <w:p w14:paraId="391DD98F" w14:textId="77777777" w:rsidR="009B2E2F" w:rsidRPr="00584D9D" w:rsidRDefault="009B2E2F" w:rsidP="00D55BA4">
            <w:pPr>
              <w:pStyle w:val="TableText"/>
            </w:pPr>
            <w:r w:rsidRPr="00B653CD">
              <w:t>8.0 ± 0.1</w:t>
            </w:r>
          </w:p>
        </w:tc>
        <w:tc>
          <w:tcPr>
            <w:tcW w:w="1417" w:type="dxa"/>
            <w:shd w:val="clear" w:color="auto" w:fill="auto"/>
            <w:vAlign w:val="center"/>
          </w:tcPr>
          <w:p w14:paraId="49302375" w14:textId="77777777" w:rsidR="009B2E2F" w:rsidRPr="00902EFA" w:rsidRDefault="009B2E2F" w:rsidP="00D55BA4">
            <w:pPr>
              <w:pStyle w:val="TableText"/>
            </w:pPr>
            <w:r w:rsidRPr="00902EFA">
              <w:t>500</w:t>
            </w:r>
          </w:p>
        </w:tc>
        <w:tc>
          <w:tcPr>
            <w:tcW w:w="1593" w:type="dxa"/>
            <w:shd w:val="clear" w:color="auto" w:fill="auto"/>
            <w:vAlign w:val="center"/>
          </w:tcPr>
          <w:p w14:paraId="56CD178B" w14:textId="5DBF833E" w:rsidR="009B2E2F" w:rsidRPr="00584D9D" w:rsidRDefault="009B2E2F" w:rsidP="00D55BA4">
            <w:pPr>
              <w:pStyle w:val="TableText"/>
            </w:pPr>
            <w:r w:rsidRPr="00584D9D">
              <w:t>USEPA (2015)</w:t>
            </w:r>
          </w:p>
        </w:tc>
      </w:tr>
      <w:tr w:rsidR="0050195B" w:rsidRPr="00584D9D" w14:paraId="33F04F73" w14:textId="77777777" w:rsidTr="001A59DD">
        <w:trPr>
          <w:cantSplit/>
        </w:trPr>
        <w:tc>
          <w:tcPr>
            <w:tcW w:w="11619" w:type="dxa"/>
            <w:gridSpan w:val="9"/>
            <w:tcBorders>
              <w:top w:val="nil"/>
              <w:bottom w:val="single" w:sz="4" w:space="0" w:color="auto"/>
            </w:tcBorders>
            <w:shd w:val="clear" w:color="auto" w:fill="auto"/>
            <w:vAlign w:val="center"/>
          </w:tcPr>
          <w:p w14:paraId="1E975269" w14:textId="6F4E448B" w:rsidR="0050195B" w:rsidRPr="00584D9D" w:rsidRDefault="0050195B" w:rsidP="00D55BA4">
            <w:pPr>
              <w:pStyle w:val="TableText"/>
            </w:pPr>
            <w:r>
              <w:t>–</w:t>
            </w:r>
          </w:p>
        </w:tc>
        <w:tc>
          <w:tcPr>
            <w:tcW w:w="1417" w:type="dxa"/>
            <w:shd w:val="clear" w:color="auto" w:fill="auto"/>
            <w:vAlign w:val="center"/>
          </w:tcPr>
          <w:p w14:paraId="2E413C8B" w14:textId="52D31B3B" w:rsidR="0050195B" w:rsidRPr="00902EFA" w:rsidRDefault="0050195B" w:rsidP="00D55BA4">
            <w:pPr>
              <w:pStyle w:val="TableText"/>
            </w:pPr>
            <w:r w:rsidRPr="00902EFA">
              <w:t xml:space="preserve">100 </w:t>
            </w:r>
            <w:r w:rsidRPr="0088293D">
              <w:rPr>
                <w:rStyle w:val="Strong"/>
                <w:vertAlign w:val="superscript"/>
              </w:rPr>
              <w:t>a</w:t>
            </w:r>
          </w:p>
        </w:tc>
        <w:tc>
          <w:tcPr>
            <w:tcW w:w="1593" w:type="dxa"/>
            <w:shd w:val="clear" w:color="auto" w:fill="auto"/>
            <w:vAlign w:val="center"/>
          </w:tcPr>
          <w:p w14:paraId="17BC7565" w14:textId="6EED84C7" w:rsidR="0050195B" w:rsidRPr="00AA670A" w:rsidRDefault="0050195B" w:rsidP="00D55BA4">
            <w:pPr>
              <w:pStyle w:val="TableText"/>
              <w:rPr>
                <w:iCs/>
              </w:rPr>
            </w:pPr>
            <w:r w:rsidRPr="00AA670A">
              <w:rPr>
                <w:b/>
                <w:iCs/>
              </w:rPr>
              <w:t>Value used in SSD</w:t>
            </w:r>
          </w:p>
        </w:tc>
      </w:tr>
      <w:tr w:rsidR="009B2E2F" w:rsidRPr="00584D9D" w14:paraId="59DAE299" w14:textId="77777777" w:rsidTr="00A619EB">
        <w:trPr>
          <w:cantSplit/>
        </w:trPr>
        <w:tc>
          <w:tcPr>
            <w:tcW w:w="1555" w:type="dxa"/>
            <w:tcBorders>
              <w:bottom w:val="nil"/>
            </w:tcBorders>
            <w:shd w:val="clear" w:color="auto" w:fill="auto"/>
            <w:vAlign w:val="center"/>
          </w:tcPr>
          <w:p w14:paraId="0FA421E7" w14:textId="0700A5AB" w:rsidR="009B2E2F" w:rsidRPr="00584D9D" w:rsidRDefault="009B2E2F" w:rsidP="00D55BA4">
            <w:pPr>
              <w:pStyle w:val="TableText"/>
            </w:pPr>
            <w:r>
              <w:lastRenderedPageBreak/>
              <w:t>Bivalve (</w:t>
            </w:r>
            <w:r w:rsidRPr="00584D9D">
              <w:t>Mollusca</w:t>
            </w:r>
            <w:r>
              <w:t>)</w:t>
            </w:r>
          </w:p>
        </w:tc>
        <w:tc>
          <w:tcPr>
            <w:tcW w:w="1417" w:type="dxa"/>
            <w:tcBorders>
              <w:bottom w:val="nil"/>
            </w:tcBorders>
            <w:shd w:val="clear" w:color="auto" w:fill="auto"/>
            <w:vAlign w:val="center"/>
          </w:tcPr>
          <w:p w14:paraId="26B5428F" w14:textId="111268C8" w:rsidR="009B2E2F" w:rsidRPr="00584D9D" w:rsidRDefault="009B2E2F" w:rsidP="00D55BA4">
            <w:pPr>
              <w:pStyle w:val="TableText"/>
            </w:pPr>
            <w:r w:rsidRPr="00584D9D">
              <w:rPr>
                <w:i/>
              </w:rPr>
              <w:t>Crassostrea virginica</w:t>
            </w:r>
          </w:p>
        </w:tc>
        <w:tc>
          <w:tcPr>
            <w:tcW w:w="1276" w:type="dxa"/>
            <w:tcBorders>
              <w:bottom w:val="nil"/>
            </w:tcBorders>
            <w:shd w:val="clear" w:color="auto" w:fill="auto"/>
            <w:vAlign w:val="center"/>
          </w:tcPr>
          <w:p w14:paraId="12C71ECD" w14:textId="539B69A2" w:rsidR="009B2E2F" w:rsidRPr="00584D9D" w:rsidRDefault="009B2E2F" w:rsidP="00D55BA4">
            <w:pPr>
              <w:pStyle w:val="TableText"/>
            </w:pPr>
            <w:r w:rsidRPr="00584D9D">
              <w:t>S</w:t>
            </w:r>
            <w:r>
              <w:t>pat</w:t>
            </w:r>
          </w:p>
        </w:tc>
        <w:tc>
          <w:tcPr>
            <w:tcW w:w="992" w:type="dxa"/>
            <w:tcBorders>
              <w:bottom w:val="nil"/>
            </w:tcBorders>
            <w:shd w:val="clear" w:color="auto" w:fill="auto"/>
            <w:vAlign w:val="center"/>
          </w:tcPr>
          <w:p w14:paraId="7BF55072" w14:textId="77777777" w:rsidR="009B2E2F" w:rsidRPr="00584D9D" w:rsidRDefault="009B2E2F" w:rsidP="00D55BA4">
            <w:pPr>
              <w:pStyle w:val="TableText"/>
            </w:pPr>
            <w:r w:rsidRPr="00584D9D">
              <w:t>7</w:t>
            </w:r>
          </w:p>
        </w:tc>
        <w:tc>
          <w:tcPr>
            <w:tcW w:w="851" w:type="dxa"/>
            <w:tcBorders>
              <w:bottom w:val="nil"/>
            </w:tcBorders>
            <w:shd w:val="clear" w:color="auto" w:fill="auto"/>
            <w:vAlign w:val="center"/>
          </w:tcPr>
          <w:p w14:paraId="0D1C2B8A" w14:textId="77777777" w:rsidR="009B2E2F" w:rsidRPr="00584D9D" w:rsidRDefault="009B2E2F" w:rsidP="00D55BA4">
            <w:pPr>
              <w:pStyle w:val="TableText"/>
            </w:pPr>
            <w:r w:rsidRPr="00584D9D">
              <w:t>Chronic</w:t>
            </w:r>
          </w:p>
        </w:tc>
        <w:tc>
          <w:tcPr>
            <w:tcW w:w="1701" w:type="dxa"/>
            <w:tcBorders>
              <w:bottom w:val="nil"/>
            </w:tcBorders>
            <w:shd w:val="clear" w:color="auto" w:fill="auto"/>
            <w:vAlign w:val="center"/>
          </w:tcPr>
          <w:p w14:paraId="0CBF0602" w14:textId="05FC5B97" w:rsidR="009B2E2F" w:rsidRPr="00584D9D" w:rsidRDefault="009B2E2F" w:rsidP="002626BA">
            <w:pPr>
              <w:pStyle w:val="TableText"/>
            </w:pPr>
            <w:r w:rsidRPr="00584D9D">
              <w:t>NOEL</w:t>
            </w:r>
            <w:r w:rsidR="002626BA">
              <w:t xml:space="preserve"> </w:t>
            </w:r>
            <w:r w:rsidRPr="00584D9D">
              <w:t>(Mortality, abnormal development)</w:t>
            </w:r>
          </w:p>
        </w:tc>
        <w:tc>
          <w:tcPr>
            <w:tcW w:w="1984" w:type="dxa"/>
            <w:tcBorders>
              <w:bottom w:val="nil"/>
            </w:tcBorders>
            <w:shd w:val="clear" w:color="auto" w:fill="auto"/>
            <w:vAlign w:val="center"/>
          </w:tcPr>
          <w:p w14:paraId="17562909" w14:textId="4E210663" w:rsidR="009B2E2F" w:rsidRPr="00584D9D" w:rsidRDefault="009B2E2F" w:rsidP="00D55BA4">
            <w:pPr>
              <w:pStyle w:val="TableText"/>
            </w:pPr>
            <w:r w:rsidRPr="00584D9D">
              <w:t>Good quality unfiltered seawater</w:t>
            </w:r>
            <w:r>
              <w:t>:</w:t>
            </w:r>
            <w:r w:rsidRPr="00584D9D">
              <w:t xml:space="preserve"> natural or artificial (with food added)</w:t>
            </w:r>
          </w:p>
        </w:tc>
        <w:tc>
          <w:tcPr>
            <w:tcW w:w="992" w:type="dxa"/>
            <w:tcBorders>
              <w:bottom w:val="nil"/>
            </w:tcBorders>
            <w:shd w:val="clear" w:color="auto" w:fill="auto"/>
            <w:vAlign w:val="center"/>
          </w:tcPr>
          <w:p w14:paraId="5F70FB7C" w14:textId="77777777" w:rsidR="009B2E2F" w:rsidRPr="00584D9D" w:rsidRDefault="009B2E2F" w:rsidP="00D55BA4">
            <w:pPr>
              <w:pStyle w:val="TableText"/>
            </w:pPr>
            <w:r w:rsidRPr="00584D9D">
              <w:t>20 ± 5</w:t>
            </w:r>
          </w:p>
        </w:tc>
        <w:tc>
          <w:tcPr>
            <w:tcW w:w="851" w:type="dxa"/>
            <w:tcBorders>
              <w:bottom w:val="nil"/>
            </w:tcBorders>
            <w:shd w:val="clear" w:color="auto" w:fill="auto"/>
            <w:vAlign w:val="center"/>
          </w:tcPr>
          <w:p w14:paraId="0C6CAD40" w14:textId="63FEE4B2" w:rsidR="009B2E2F" w:rsidRPr="00584D9D" w:rsidRDefault="009B2E2F" w:rsidP="00D55BA4">
            <w:pPr>
              <w:pStyle w:val="TableText"/>
            </w:pPr>
            <w:r>
              <w:t>–</w:t>
            </w:r>
          </w:p>
        </w:tc>
        <w:tc>
          <w:tcPr>
            <w:tcW w:w="1417" w:type="dxa"/>
            <w:tcBorders>
              <w:bottom w:val="single" w:sz="4" w:space="0" w:color="auto"/>
            </w:tcBorders>
            <w:shd w:val="clear" w:color="auto" w:fill="auto"/>
            <w:vAlign w:val="center"/>
          </w:tcPr>
          <w:p w14:paraId="403F24A0" w14:textId="3315E1C8" w:rsidR="009B2E2F" w:rsidRPr="00902EFA" w:rsidRDefault="009B2E2F" w:rsidP="00D55BA4">
            <w:pPr>
              <w:pStyle w:val="TableText"/>
            </w:pPr>
            <w:r w:rsidRPr="00902EFA">
              <w:t>1 000</w:t>
            </w:r>
          </w:p>
        </w:tc>
        <w:tc>
          <w:tcPr>
            <w:tcW w:w="1593" w:type="dxa"/>
            <w:tcBorders>
              <w:bottom w:val="single" w:sz="4" w:space="0" w:color="auto"/>
            </w:tcBorders>
            <w:shd w:val="clear" w:color="auto" w:fill="auto"/>
            <w:vAlign w:val="center"/>
          </w:tcPr>
          <w:p w14:paraId="516CE6B1" w14:textId="12ED163C" w:rsidR="009B2E2F" w:rsidRPr="00584D9D" w:rsidRDefault="009B2E2F" w:rsidP="00D55BA4">
            <w:pPr>
              <w:pStyle w:val="TableText"/>
              <w:rPr>
                <w:b/>
                <w:i/>
              </w:rPr>
            </w:pPr>
            <w:r w:rsidRPr="00584D9D">
              <w:t>USEPA (2015)</w:t>
            </w:r>
          </w:p>
        </w:tc>
      </w:tr>
      <w:tr w:rsidR="0050195B" w:rsidRPr="00584D9D" w14:paraId="1360F122" w14:textId="77777777" w:rsidTr="001A59DD">
        <w:trPr>
          <w:cantSplit/>
        </w:trPr>
        <w:tc>
          <w:tcPr>
            <w:tcW w:w="11619" w:type="dxa"/>
            <w:gridSpan w:val="9"/>
            <w:tcBorders>
              <w:top w:val="nil"/>
              <w:bottom w:val="single" w:sz="12" w:space="0" w:color="auto"/>
            </w:tcBorders>
            <w:shd w:val="clear" w:color="auto" w:fill="auto"/>
            <w:vAlign w:val="center"/>
          </w:tcPr>
          <w:p w14:paraId="13FA7888" w14:textId="42BD33DA" w:rsidR="0050195B" w:rsidRPr="00584D9D" w:rsidRDefault="0050195B" w:rsidP="00D55BA4">
            <w:pPr>
              <w:pStyle w:val="TableText"/>
            </w:pPr>
            <w:r>
              <w:t>–</w:t>
            </w:r>
          </w:p>
        </w:tc>
        <w:tc>
          <w:tcPr>
            <w:tcW w:w="1417" w:type="dxa"/>
            <w:tcBorders>
              <w:bottom w:val="single" w:sz="12" w:space="0" w:color="auto"/>
            </w:tcBorders>
            <w:shd w:val="clear" w:color="auto" w:fill="auto"/>
            <w:vAlign w:val="center"/>
          </w:tcPr>
          <w:p w14:paraId="0AEEA997" w14:textId="76B4B1D9" w:rsidR="0050195B" w:rsidRPr="00902EFA" w:rsidRDefault="0050195B" w:rsidP="00D55BA4">
            <w:pPr>
              <w:pStyle w:val="TableText"/>
            </w:pPr>
            <w:r w:rsidRPr="00902EFA">
              <w:t>1 000</w:t>
            </w:r>
          </w:p>
        </w:tc>
        <w:tc>
          <w:tcPr>
            <w:tcW w:w="1593" w:type="dxa"/>
            <w:tcBorders>
              <w:bottom w:val="single" w:sz="12" w:space="0" w:color="auto"/>
            </w:tcBorders>
            <w:shd w:val="clear" w:color="auto" w:fill="auto"/>
            <w:vAlign w:val="center"/>
          </w:tcPr>
          <w:p w14:paraId="00ECB178" w14:textId="4357CD0F" w:rsidR="0050195B" w:rsidRPr="00AA670A" w:rsidRDefault="0050195B" w:rsidP="00D55BA4">
            <w:pPr>
              <w:pStyle w:val="TableText"/>
              <w:rPr>
                <w:b/>
                <w:iCs/>
              </w:rPr>
            </w:pPr>
            <w:r w:rsidRPr="00AA670A">
              <w:rPr>
                <w:b/>
                <w:iCs/>
              </w:rPr>
              <w:t>Value used in SSD</w:t>
            </w:r>
          </w:p>
        </w:tc>
      </w:tr>
    </w:tbl>
    <w:p w14:paraId="54843C75" w14:textId="4F1F0B77" w:rsidR="00AE32FA" w:rsidRDefault="00AE32FA" w:rsidP="001B6ADF">
      <w:pPr>
        <w:pStyle w:val="FigureTableNoteSource"/>
      </w:pPr>
      <w:r w:rsidRPr="001B6ADF">
        <w:rPr>
          <w:rStyle w:val="Strong"/>
        </w:rPr>
        <w:t>a</w:t>
      </w:r>
      <w:r>
        <w:t xml:space="preserve"> Values were chronic EC50 values that were converted to chronic </w:t>
      </w:r>
      <w:r w:rsidR="006853AD">
        <w:t>EC10</w:t>
      </w:r>
      <w:r w:rsidR="0092322C">
        <w:t>/NOEC</w:t>
      </w:r>
      <w:r w:rsidR="006853AD">
        <w:t xml:space="preserve"> </w:t>
      </w:r>
      <w:r>
        <w:t>values by dividing by 5 (Warne et al. 2018).</w:t>
      </w:r>
    </w:p>
    <w:p w14:paraId="6A29A50A" w14:textId="69D7BAB5" w:rsidR="00AE32FA" w:rsidRDefault="00AE32FA" w:rsidP="001B6ADF">
      <w:pPr>
        <w:pStyle w:val="FigureTableNoteSource"/>
        <w:rPr>
          <w:highlight w:val="cyan"/>
        </w:rPr>
      </w:pPr>
      <w:r w:rsidRPr="001B6ADF">
        <w:rPr>
          <w:rStyle w:val="Strong"/>
        </w:rPr>
        <w:t>b</w:t>
      </w:r>
      <w:r>
        <w:t xml:space="preserve"> Values were acute LC50 values that were converted to chronic</w:t>
      </w:r>
      <w:r w:rsidR="006853AD">
        <w:t xml:space="preserve"> EC10/NOEL</w:t>
      </w:r>
      <w:r>
        <w:t xml:space="preserve"> values by dividing by 10 (Warne et al. 2018).</w:t>
      </w:r>
    </w:p>
    <w:p w14:paraId="37B7DC2B" w14:textId="77777777" w:rsidR="00AE32FA" w:rsidRDefault="00AE32FA" w:rsidP="00811E15">
      <w:pPr>
        <w:rPr>
          <w:highlight w:val="cyan"/>
        </w:rPr>
      </w:pPr>
    </w:p>
    <w:bookmarkEnd w:id="34"/>
    <w:bookmarkEnd w:id="35"/>
    <w:p w14:paraId="0592A954" w14:textId="77777777" w:rsidR="004F2FCD" w:rsidRPr="00FD6C22" w:rsidRDefault="004F2FCD" w:rsidP="004F2FCD">
      <w:pPr>
        <w:rPr>
          <w:highlight w:val="cyan"/>
        </w:rPr>
      </w:pPr>
    </w:p>
    <w:p w14:paraId="19C5099D" w14:textId="79186BB8" w:rsidR="004F2FCD" w:rsidRPr="00FD6C22" w:rsidRDefault="004F2FCD" w:rsidP="004F2FCD">
      <w:pPr>
        <w:rPr>
          <w:highlight w:val="cyan"/>
        </w:rPr>
        <w:sectPr w:rsidR="004F2FCD" w:rsidRPr="00FD6C22" w:rsidSect="007336AC">
          <w:headerReference w:type="even" r:id="rId37"/>
          <w:headerReference w:type="default" r:id="rId38"/>
          <w:footerReference w:type="even" r:id="rId39"/>
          <w:footerReference w:type="default" r:id="rId40"/>
          <w:headerReference w:type="first" r:id="rId41"/>
          <w:footerReference w:type="first" r:id="rId42"/>
          <w:pgSz w:w="16838" w:h="11906" w:orient="landscape"/>
          <w:pgMar w:top="1418" w:right="1418" w:bottom="1418" w:left="1418" w:header="567" w:footer="283" w:gutter="0"/>
          <w:cols w:space="708"/>
          <w:docGrid w:linePitch="360"/>
        </w:sectPr>
      </w:pPr>
    </w:p>
    <w:p w14:paraId="11B57B04" w14:textId="3BF7A591" w:rsidR="00FE30CC" w:rsidRPr="00FD6C22" w:rsidRDefault="00FB294F" w:rsidP="00FB294F">
      <w:pPr>
        <w:pStyle w:val="Heading2"/>
        <w:numPr>
          <w:ilvl w:val="0"/>
          <w:numId w:val="0"/>
        </w:numPr>
        <w:rPr>
          <w:highlight w:val="cyan"/>
        </w:rPr>
      </w:pPr>
      <w:bookmarkStart w:id="37" w:name="_Ref185510721"/>
      <w:bookmarkStart w:id="38" w:name="_Toc189412385"/>
      <w:r>
        <w:lastRenderedPageBreak/>
        <w:t>Appendix </w:t>
      </w:r>
      <w:r w:rsidR="00D7456C">
        <w:fldChar w:fldCharType="begin"/>
      </w:r>
      <w:r w:rsidR="00D7456C">
        <w:instrText xml:space="preserve"> SEQ Appendix \* ALPHABETIC </w:instrText>
      </w:r>
      <w:r w:rsidR="00D7456C">
        <w:fldChar w:fldCharType="separate"/>
      </w:r>
      <w:r w:rsidR="00E74306">
        <w:rPr>
          <w:noProof/>
        </w:rPr>
        <w:t>B</w:t>
      </w:r>
      <w:r w:rsidR="00D7456C">
        <w:rPr>
          <w:noProof/>
        </w:rPr>
        <w:fldChar w:fldCharType="end"/>
      </w:r>
      <w:bookmarkEnd w:id="37"/>
      <w:r w:rsidR="00AE32FA" w:rsidRPr="00AE32FA">
        <w:t>: Modality assessment for simazine toxicity to aquatic species</w:t>
      </w:r>
      <w:bookmarkEnd w:id="38"/>
    </w:p>
    <w:p w14:paraId="71A71952" w14:textId="77777777" w:rsidR="00AE32FA" w:rsidRDefault="00AE32FA" w:rsidP="00AE32FA">
      <w:pPr>
        <w:rPr>
          <w:lang w:eastAsia="ja-JP"/>
        </w:rPr>
      </w:pPr>
      <w:r>
        <w:rPr>
          <w:lang w:eastAsia="ja-JP"/>
        </w:rPr>
        <w:t>A modality assessment was undertaken for simazine according to the weight of evidence approach specified in Warne et al. (2018).</w:t>
      </w:r>
    </w:p>
    <w:p w14:paraId="328350E8" w14:textId="6DA74D3E" w:rsidR="00AE32FA" w:rsidRDefault="00AE32FA" w:rsidP="009631C5">
      <w:pPr>
        <w:pStyle w:val="Heading5"/>
        <w:rPr>
          <w:lang w:eastAsia="ja-JP"/>
        </w:rPr>
      </w:pPr>
      <w:r>
        <w:rPr>
          <w:lang w:eastAsia="ja-JP"/>
        </w:rPr>
        <w:t>Is there a specific mode of action that could result in taxa-specific sensitivity?</w:t>
      </w:r>
    </w:p>
    <w:p w14:paraId="72C3A055" w14:textId="3675B565" w:rsidR="00AE32FA" w:rsidRDefault="00AE32FA" w:rsidP="00AE32FA">
      <w:pPr>
        <w:rPr>
          <w:lang w:eastAsia="ja-JP"/>
        </w:rPr>
      </w:pPr>
      <w:r>
        <w:rPr>
          <w:lang w:eastAsia="ja-JP"/>
        </w:rPr>
        <w:t>Section</w:t>
      </w:r>
      <w:r w:rsidR="005361C1">
        <w:rPr>
          <w:lang w:eastAsia="ja-JP"/>
        </w:rPr>
        <w:t> </w:t>
      </w:r>
      <w:r w:rsidR="005361C1">
        <w:rPr>
          <w:lang w:eastAsia="ja-JP"/>
        </w:rPr>
        <w:fldChar w:fldCharType="begin"/>
      </w:r>
      <w:r w:rsidR="005361C1">
        <w:rPr>
          <w:lang w:eastAsia="ja-JP"/>
        </w:rPr>
        <w:instrText xml:space="preserve"> REF _Ref185509481 \r \h </w:instrText>
      </w:r>
      <w:r w:rsidR="005361C1">
        <w:rPr>
          <w:lang w:eastAsia="ja-JP"/>
        </w:rPr>
      </w:r>
      <w:r w:rsidR="005361C1">
        <w:rPr>
          <w:lang w:eastAsia="ja-JP"/>
        </w:rPr>
        <w:fldChar w:fldCharType="separate"/>
      </w:r>
      <w:r w:rsidR="00E74306">
        <w:rPr>
          <w:lang w:eastAsia="ja-JP"/>
        </w:rPr>
        <w:t>2.1</w:t>
      </w:r>
      <w:r w:rsidR="005361C1">
        <w:rPr>
          <w:lang w:eastAsia="ja-JP"/>
        </w:rPr>
        <w:fldChar w:fldCharType="end"/>
      </w:r>
      <w:r>
        <w:rPr>
          <w:lang w:eastAsia="ja-JP"/>
        </w:rPr>
        <w:t xml:space="preserve"> describe</w:t>
      </w:r>
      <w:r w:rsidR="00A226EE">
        <w:rPr>
          <w:lang w:eastAsia="ja-JP"/>
        </w:rPr>
        <w:t>s</w:t>
      </w:r>
      <w:r>
        <w:rPr>
          <w:lang w:eastAsia="ja-JP"/>
        </w:rPr>
        <w:t xml:space="preserve"> the known mechanisms of toxicity of simazine. Briefly, simazine is a PSII-inhibiting herbicide that </w:t>
      </w:r>
      <w:r w:rsidR="00A226EE">
        <w:rPr>
          <w:lang w:eastAsia="ja-JP"/>
        </w:rPr>
        <w:t>is</w:t>
      </w:r>
      <w:r>
        <w:rPr>
          <w:lang w:eastAsia="ja-JP"/>
        </w:rPr>
        <w:t xml:space="preserve"> expected to be more sensitive to </w:t>
      </w:r>
      <w:r w:rsidR="00A226EE">
        <w:rPr>
          <w:lang w:eastAsia="ja-JP"/>
        </w:rPr>
        <w:t>phototrophs than to heterotrophs</w:t>
      </w:r>
      <w:r>
        <w:rPr>
          <w:lang w:eastAsia="ja-JP"/>
        </w:rPr>
        <w:t xml:space="preserve">. However, in addition to its main mode of action, exposure to simazine and other PSII-inhibiting herbicides increases the formation of </w:t>
      </w:r>
      <w:r w:rsidR="00A226EE">
        <w:rPr>
          <w:lang w:eastAsia="ja-JP"/>
        </w:rPr>
        <w:t>ROS</w:t>
      </w:r>
      <w:r>
        <w:rPr>
          <w:lang w:eastAsia="ja-JP"/>
        </w:rPr>
        <w:t xml:space="preserve"> </w:t>
      </w:r>
      <w:r w:rsidR="00F26A78">
        <w:rPr>
          <w:lang w:eastAsia="ja-JP"/>
        </w:rPr>
        <w:t xml:space="preserve">in both </w:t>
      </w:r>
      <w:r>
        <w:rPr>
          <w:lang w:eastAsia="ja-JP"/>
        </w:rPr>
        <w:t>phototrophs and heterotrophs. Moreover, simazine can also exert biochemical effects</w:t>
      </w:r>
      <w:r w:rsidR="00E145E8">
        <w:rPr>
          <w:lang w:eastAsia="ja-JP"/>
        </w:rPr>
        <w:t>,</w:t>
      </w:r>
      <w:r w:rsidR="00F26A78">
        <w:rPr>
          <w:lang w:eastAsia="ja-JP"/>
        </w:rPr>
        <w:t xml:space="preserve"> </w:t>
      </w:r>
      <w:r>
        <w:rPr>
          <w:lang w:eastAsia="ja-JP"/>
        </w:rPr>
        <w:t xml:space="preserve">including endocrine disruption. </w:t>
      </w:r>
    </w:p>
    <w:p w14:paraId="52984327" w14:textId="35AD2D70" w:rsidR="00140E2C" w:rsidRDefault="00140E2C" w:rsidP="00140E2C">
      <w:r>
        <w:t>Given the main mode of action of simazine is the inhibition of electron transport in the PSII complex, simazine is expected to be more toxic to phototrophs than to heterotrophs.</w:t>
      </w:r>
    </w:p>
    <w:p w14:paraId="55EAC4BB" w14:textId="747A9E55" w:rsidR="00AE32FA" w:rsidRDefault="00AE32FA" w:rsidP="009631C5">
      <w:pPr>
        <w:pStyle w:val="Heading5"/>
        <w:rPr>
          <w:lang w:eastAsia="ja-JP"/>
        </w:rPr>
      </w:pPr>
      <w:r>
        <w:rPr>
          <w:lang w:eastAsia="ja-JP"/>
        </w:rPr>
        <w:t>Does the dataset suggest bimodality?</w:t>
      </w:r>
    </w:p>
    <w:p w14:paraId="13750762" w14:textId="4F106EA1" w:rsidR="00B84C82" w:rsidRDefault="00AE32FA" w:rsidP="00AE32FA">
      <w:pPr>
        <w:rPr>
          <w:lang w:eastAsia="ja-JP"/>
        </w:rPr>
      </w:pPr>
      <w:r>
        <w:rPr>
          <w:lang w:eastAsia="ja-JP"/>
        </w:rPr>
        <w:t>Modality was assessed using a dataset that combined all freshwater and marine</w:t>
      </w:r>
      <w:r w:rsidR="00B84C82">
        <w:rPr>
          <w:lang w:eastAsia="ja-JP"/>
        </w:rPr>
        <w:t xml:space="preserve"> </w:t>
      </w:r>
      <w:r>
        <w:rPr>
          <w:lang w:eastAsia="ja-JP"/>
        </w:rPr>
        <w:t>toxicity data that passed the screening and quality assessment (n = 4</w:t>
      </w:r>
      <w:r w:rsidR="00E0497E">
        <w:rPr>
          <w:lang w:eastAsia="ja-JP"/>
        </w:rPr>
        <w:t>2</w:t>
      </w:r>
      <w:r>
        <w:rPr>
          <w:lang w:eastAsia="ja-JP"/>
        </w:rPr>
        <w:t xml:space="preserve">). This was done to increase the sample size of the dataset being assessed. </w:t>
      </w:r>
    </w:p>
    <w:p w14:paraId="69FE49CB" w14:textId="29D7D9FE" w:rsidR="00435F22" w:rsidRDefault="00AE32FA" w:rsidP="00AE32FA">
      <w:pPr>
        <w:rPr>
          <w:highlight w:val="cyan"/>
          <w:lang w:eastAsia="ja-JP"/>
        </w:rPr>
      </w:pPr>
      <w:r>
        <w:rPr>
          <w:lang w:eastAsia="ja-JP"/>
        </w:rPr>
        <w:t>All acute data (e.g. LC50) or chronic effect data (e.g. EC50) were converted to chronic negligible effect data (e.g. NEC, EC10, NOE</w:t>
      </w:r>
      <w:r w:rsidR="00273E17">
        <w:rPr>
          <w:lang w:eastAsia="ja-JP"/>
        </w:rPr>
        <w:t>L</w:t>
      </w:r>
      <w:r>
        <w:rPr>
          <w:lang w:eastAsia="ja-JP"/>
        </w:rPr>
        <w:t xml:space="preserve">) using the methods recommended by Warne et al. (2018). Box and whisker plots for the freshwater data and marine data </w:t>
      </w:r>
      <w:r w:rsidR="0095033D">
        <w:rPr>
          <w:lang w:eastAsia="ja-JP"/>
        </w:rPr>
        <w:t xml:space="preserve">suggested </w:t>
      </w:r>
      <w:r>
        <w:rPr>
          <w:lang w:eastAsia="ja-JP"/>
        </w:rPr>
        <w:t>considerable overlap, with a</w:t>
      </w:r>
      <w:r w:rsidR="0095033D">
        <w:rPr>
          <w:lang w:eastAsia="ja-JP"/>
        </w:rPr>
        <w:t>n</w:t>
      </w:r>
      <w:r>
        <w:rPr>
          <w:lang w:eastAsia="ja-JP"/>
        </w:rPr>
        <w:t xml:space="preserve"> indication that marine species </w:t>
      </w:r>
      <w:r w:rsidR="0095033D">
        <w:rPr>
          <w:lang w:eastAsia="ja-JP"/>
        </w:rPr>
        <w:t xml:space="preserve">may </w:t>
      </w:r>
      <w:r>
        <w:rPr>
          <w:lang w:eastAsia="ja-JP"/>
        </w:rPr>
        <w:t>be slightly less sensitive (</w:t>
      </w:r>
      <w:r w:rsidR="00367621">
        <w:rPr>
          <w:lang w:eastAsia="ja-JP"/>
        </w:rPr>
        <w:fldChar w:fldCharType="begin"/>
      </w:r>
      <w:r w:rsidR="00367621">
        <w:rPr>
          <w:lang w:eastAsia="ja-JP"/>
        </w:rPr>
        <w:instrText xml:space="preserve"> REF _Ref185510160 \h </w:instrText>
      </w:r>
      <w:r w:rsidR="00367621">
        <w:rPr>
          <w:lang w:eastAsia="ja-JP"/>
        </w:rPr>
      </w:r>
      <w:r w:rsidR="00367621">
        <w:rPr>
          <w:lang w:eastAsia="ja-JP"/>
        </w:rPr>
        <w:fldChar w:fldCharType="separate"/>
      </w:r>
      <w:r w:rsidR="00E74306">
        <w:t>Figure B </w:t>
      </w:r>
      <w:r w:rsidR="00E74306">
        <w:rPr>
          <w:noProof/>
        </w:rPr>
        <w:t>1</w:t>
      </w:r>
      <w:r w:rsidR="00367621">
        <w:rPr>
          <w:lang w:eastAsia="ja-JP"/>
        </w:rPr>
        <w:fldChar w:fldCharType="end"/>
      </w:r>
      <w:r>
        <w:rPr>
          <w:lang w:eastAsia="ja-JP"/>
        </w:rPr>
        <w:t xml:space="preserve">). </w:t>
      </w:r>
    </w:p>
    <w:p w14:paraId="5DC1C15E" w14:textId="4145C200" w:rsidR="00857C81" w:rsidRPr="00857C81" w:rsidRDefault="00CD69CA" w:rsidP="00671C44">
      <w:pPr>
        <w:spacing w:after="0"/>
        <w:rPr>
          <w:highlight w:val="cyan"/>
          <w:lang w:eastAsia="ja-JP"/>
        </w:rPr>
      </w:pPr>
      <w:r>
        <w:rPr>
          <w:noProof/>
        </w:rPr>
        <mc:AlternateContent>
          <mc:Choice Requires="cx1">
            <w:drawing>
              <wp:inline distT="0" distB="0" distL="0" distR="0" wp14:anchorId="2C305903" wp14:editId="37CCACDA">
                <wp:extent cx="4310743" cy="2667000"/>
                <wp:effectExtent l="0" t="0" r="13970" b="0"/>
                <wp:docPr id="666210323" name="Chart 1" descr="Figure displays the sensitivity of two taxa to simazine in marine water. The taxa are  freshwater species and marine species.">
                  <a:extLst xmlns:a="http://schemas.openxmlformats.org/drawingml/2006/main">
                    <a:ext uri="{FF2B5EF4-FFF2-40B4-BE49-F238E27FC236}">
                      <a16:creationId xmlns:a16="http://schemas.microsoft.com/office/drawing/2014/main" id="{5D3DFE32-0D97-4929-91F9-F7C279556EE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3"/>
                  </a:graphicData>
                </a:graphic>
              </wp:inline>
            </w:drawing>
          </mc:Choice>
          <mc:Fallback>
            <w:drawing>
              <wp:inline distT="0" distB="0" distL="0" distR="0" wp14:anchorId="2C305903" wp14:editId="37CCACDA">
                <wp:extent cx="4310743" cy="2667000"/>
                <wp:effectExtent l="0" t="0" r="13970" b="0"/>
                <wp:docPr id="666210323" name="Chart 1" descr="Figure displays the sensitivity of two taxa to simazine in marine water. The taxa are  freshwater species and marine species.">
                  <a:extLst xmlns:a="http://schemas.openxmlformats.org/drawingml/2006/main">
                    <a:ext uri="{FF2B5EF4-FFF2-40B4-BE49-F238E27FC236}">
                      <a16:creationId xmlns:a16="http://schemas.microsoft.com/office/drawing/2014/main" id="{5D3DFE32-0D97-4929-91F9-F7C279556EE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66210323" name="Chart 1" descr="Figure displays the sensitivity of two taxa to simazine in marine water. The taxa are  freshwater species and marine species.">
                          <a:extLst>
                            <a:ext uri="{FF2B5EF4-FFF2-40B4-BE49-F238E27FC236}">
                              <a16:creationId xmlns:a16="http://schemas.microsoft.com/office/drawing/2014/main" id="{5D3DFE32-0D97-4929-91F9-F7C279556EE1}"/>
                            </a:ext>
                          </a:extLst>
                        </pic:cNvPr>
                        <pic:cNvPicPr>
                          <a:picLocks noGrp="1" noRot="1" noChangeAspect="1" noMove="1" noResize="1" noEditPoints="1" noAdjustHandles="1" noChangeArrowheads="1" noChangeShapeType="1"/>
                        </pic:cNvPicPr>
                      </pic:nvPicPr>
                      <pic:blipFill>
                        <a:blip r:embed="rId46"/>
                        <a:stretch>
                          <a:fillRect/>
                        </a:stretch>
                      </pic:blipFill>
                      <pic:spPr>
                        <a:xfrm>
                          <a:off x="0" y="0"/>
                          <a:ext cx="4310380" cy="2667000"/>
                        </a:xfrm>
                        <a:prstGeom prst="rect">
                          <a:avLst/>
                        </a:prstGeom>
                      </pic:spPr>
                    </pic:pic>
                  </a:graphicData>
                </a:graphic>
              </wp:inline>
            </w:drawing>
          </mc:Fallback>
        </mc:AlternateContent>
      </w:r>
    </w:p>
    <w:p w14:paraId="5244D9BD" w14:textId="339ECB61" w:rsidR="00A800EE" w:rsidRDefault="00A800EE" w:rsidP="00671C44">
      <w:pPr>
        <w:pStyle w:val="FigureTableNoteSource"/>
        <w:spacing w:after="120"/>
        <w:rPr>
          <w:highlight w:val="cyan"/>
          <w:lang w:eastAsia="ja-JP"/>
        </w:rPr>
      </w:pPr>
      <w:r w:rsidRPr="00A800EE">
        <w:rPr>
          <w:lang w:eastAsia="ja-JP"/>
        </w:rPr>
        <w:t>Note: the line in the box represents the median; ‘x’ represents the mean; unfilled circles represent suspected outliers; filled circles represent known outliers; error bars represent minimum and maximum values.</w:t>
      </w:r>
    </w:p>
    <w:p w14:paraId="5182C6B8" w14:textId="6F3C23DD" w:rsidR="00D73945" w:rsidRPr="00D73945" w:rsidRDefault="00D54FBB" w:rsidP="0026789B">
      <w:pPr>
        <w:pStyle w:val="Caption"/>
        <w:keepNext w:val="0"/>
        <w:rPr>
          <w:highlight w:val="cyan"/>
          <w:lang w:eastAsia="ja-JP"/>
        </w:rPr>
      </w:pPr>
      <w:bookmarkStart w:id="39" w:name="_Ref185510160"/>
      <w:bookmarkStart w:id="40" w:name="_Toc189412393"/>
      <w:r>
        <w:t>Figure B </w:t>
      </w:r>
      <w:r w:rsidR="00D7456C">
        <w:fldChar w:fldCharType="begin"/>
      </w:r>
      <w:r w:rsidR="00D7456C">
        <w:instrText xml:space="preserve"> SEQ Figure_B \* ARABIC </w:instrText>
      </w:r>
      <w:r w:rsidR="00D7456C">
        <w:fldChar w:fldCharType="separate"/>
      </w:r>
      <w:r w:rsidR="00E74306">
        <w:rPr>
          <w:noProof/>
        </w:rPr>
        <w:t>1</w:t>
      </w:r>
      <w:r w:rsidR="00D7456C">
        <w:rPr>
          <w:noProof/>
        </w:rPr>
        <w:fldChar w:fldCharType="end"/>
      </w:r>
      <w:bookmarkEnd w:id="39"/>
      <w:r w:rsidR="00AE32FA" w:rsidRPr="00AE32FA">
        <w:rPr>
          <w:lang w:eastAsia="ja-JP"/>
        </w:rPr>
        <w:t xml:space="preserve"> Box plot</w:t>
      </w:r>
      <w:r w:rsidR="00D73945">
        <w:rPr>
          <w:lang w:eastAsia="ja-JP"/>
        </w:rPr>
        <w:t>,</w:t>
      </w:r>
      <w:r w:rsidR="00AE32FA" w:rsidRPr="00AE32FA">
        <w:rPr>
          <w:lang w:eastAsia="ja-JP"/>
        </w:rPr>
        <w:t xml:space="preserve"> </w:t>
      </w:r>
      <w:r w:rsidR="00D73945" w:rsidRPr="00D73945">
        <w:rPr>
          <w:lang w:eastAsia="ja-JP"/>
        </w:rPr>
        <w:t>compari</w:t>
      </w:r>
      <w:r w:rsidR="00CF390F">
        <w:rPr>
          <w:lang w:eastAsia="ja-JP"/>
        </w:rPr>
        <w:t>son of</w:t>
      </w:r>
      <w:r w:rsidR="00D73945" w:rsidRPr="00D73945">
        <w:rPr>
          <w:lang w:eastAsia="ja-JP"/>
        </w:rPr>
        <w:t xml:space="preserve"> freshwater and marine species sensitivities to simazine</w:t>
      </w:r>
      <w:bookmarkEnd w:id="40"/>
    </w:p>
    <w:p w14:paraId="1F620AA9" w14:textId="2DE08556" w:rsidR="00D73945" w:rsidRDefault="00AE32FA" w:rsidP="00512B1D">
      <w:pPr>
        <w:rPr>
          <w:lang w:eastAsia="ja-JP"/>
        </w:rPr>
      </w:pPr>
      <w:r w:rsidRPr="00AE32FA">
        <w:rPr>
          <w:lang w:eastAsia="ja-JP"/>
        </w:rPr>
        <w:lastRenderedPageBreak/>
        <w:t>Calculation of the bimodality coefficient (BC) yielded a value of 0.424</w:t>
      </w:r>
      <w:r w:rsidR="00D73945">
        <w:rPr>
          <w:lang w:eastAsia="ja-JP"/>
        </w:rPr>
        <w:t xml:space="preserve">. This </w:t>
      </w:r>
      <w:r w:rsidRPr="00AE32FA">
        <w:rPr>
          <w:lang w:eastAsia="ja-JP"/>
        </w:rPr>
        <w:t>is below the indicative threshold BC for bimodality of 0.555, suggesting the dataset does not exhibit bimodality (</w:t>
      </w:r>
      <w:r w:rsidR="00367621">
        <w:rPr>
          <w:lang w:eastAsia="ja-JP"/>
        </w:rPr>
        <w:fldChar w:fldCharType="begin"/>
      </w:r>
      <w:r w:rsidR="00367621">
        <w:rPr>
          <w:lang w:eastAsia="ja-JP"/>
        </w:rPr>
        <w:instrText xml:space="preserve"> REF _Ref185510177 \h </w:instrText>
      </w:r>
      <w:r w:rsidR="00367621">
        <w:rPr>
          <w:lang w:eastAsia="ja-JP"/>
        </w:rPr>
      </w:r>
      <w:r w:rsidR="00367621">
        <w:rPr>
          <w:lang w:eastAsia="ja-JP"/>
        </w:rPr>
        <w:fldChar w:fldCharType="separate"/>
      </w:r>
      <w:r w:rsidR="00E74306">
        <w:t>Figure B </w:t>
      </w:r>
      <w:r w:rsidR="00E74306">
        <w:rPr>
          <w:noProof/>
        </w:rPr>
        <w:t>2</w:t>
      </w:r>
      <w:r w:rsidR="00367621">
        <w:rPr>
          <w:lang w:eastAsia="ja-JP"/>
        </w:rPr>
        <w:fldChar w:fldCharType="end"/>
      </w:r>
      <w:r w:rsidRPr="00AE32FA">
        <w:rPr>
          <w:lang w:eastAsia="ja-JP"/>
        </w:rPr>
        <w:t>).</w:t>
      </w:r>
    </w:p>
    <w:p w14:paraId="2B1B7146" w14:textId="4424BD16" w:rsidR="00AE32FA" w:rsidRDefault="00AE32FA" w:rsidP="00671C44">
      <w:pPr>
        <w:spacing w:after="0"/>
        <w:rPr>
          <w:highlight w:val="cyan"/>
          <w:lang w:eastAsia="ja-JP"/>
        </w:rPr>
      </w:pPr>
      <w:r>
        <w:rPr>
          <w:noProof/>
        </w:rPr>
        <w:drawing>
          <wp:inline distT="0" distB="0" distL="0" distR="0" wp14:anchorId="5076BE59" wp14:editId="41525EA0">
            <wp:extent cx="2801694" cy="3445510"/>
            <wp:effectExtent l="0" t="0" r="0" b="2540"/>
            <wp:docPr id="13" name="Picture 13" descr="Figure displays a histogram of the dataset that shows the log-transformed toxicity data (x axis) against relative frequency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displays a histogram of the dataset that shows the log-transformed toxicity data (x axis) against relative frequency (y axis)."/>
                    <pic:cNvPicPr/>
                  </pic:nvPicPr>
                  <pic:blipFill rotWithShape="1">
                    <a:blip r:embed="rId47">
                      <a:extLst>
                        <a:ext uri="{28A0092B-C50C-407E-A947-70E740481C1C}">
                          <a14:useLocalDpi xmlns:a14="http://schemas.microsoft.com/office/drawing/2010/main" val="0"/>
                        </a:ext>
                      </a:extLst>
                    </a:blip>
                    <a:srcRect l="1619" t="1080" r="1043" b="1235"/>
                    <a:stretch/>
                  </pic:blipFill>
                  <pic:spPr bwMode="auto">
                    <a:xfrm>
                      <a:off x="0" y="0"/>
                      <a:ext cx="2803339" cy="3447533"/>
                    </a:xfrm>
                    <a:prstGeom prst="rect">
                      <a:avLst/>
                    </a:prstGeom>
                    <a:ln>
                      <a:noFill/>
                    </a:ln>
                    <a:extLst>
                      <a:ext uri="{53640926-AAD7-44D8-BBD7-CCE9431645EC}">
                        <a14:shadowObscured xmlns:a14="http://schemas.microsoft.com/office/drawing/2010/main"/>
                      </a:ext>
                    </a:extLst>
                  </pic:spPr>
                </pic:pic>
              </a:graphicData>
            </a:graphic>
          </wp:inline>
        </w:drawing>
      </w:r>
    </w:p>
    <w:p w14:paraId="4E1F7B7F" w14:textId="6E6BFD19" w:rsidR="00AE32FA" w:rsidRDefault="00B07FD9" w:rsidP="00B07FD9">
      <w:pPr>
        <w:pStyle w:val="Caption"/>
        <w:rPr>
          <w:highlight w:val="cyan"/>
          <w:lang w:eastAsia="ja-JP"/>
        </w:rPr>
      </w:pPr>
      <w:bookmarkStart w:id="41" w:name="_Ref185510177"/>
      <w:bookmarkStart w:id="42" w:name="_Toc189412394"/>
      <w:r>
        <w:t>Figure B </w:t>
      </w:r>
      <w:r w:rsidR="00D7456C">
        <w:fldChar w:fldCharType="begin"/>
      </w:r>
      <w:r w:rsidR="00D7456C">
        <w:instrText xml:space="preserve"> SEQ Figure_B \* ARABIC </w:instrText>
      </w:r>
      <w:r w:rsidR="00D7456C">
        <w:fldChar w:fldCharType="separate"/>
      </w:r>
      <w:r w:rsidR="00E74306">
        <w:rPr>
          <w:noProof/>
        </w:rPr>
        <w:t>2</w:t>
      </w:r>
      <w:r w:rsidR="00D7456C">
        <w:rPr>
          <w:noProof/>
        </w:rPr>
        <w:fldChar w:fldCharType="end"/>
      </w:r>
      <w:bookmarkEnd w:id="41"/>
      <w:r w:rsidR="00AE32FA" w:rsidRPr="00AE32FA">
        <w:rPr>
          <w:lang w:eastAsia="ja-JP"/>
        </w:rPr>
        <w:t xml:space="preserve"> Histogram</w:t>
      </w:r>
      <w:r w:rsidR="000577C0" w:rsidRPr="002A4520">
        <w:t xml:space="preserve"> of fresh</w:t>
      </w:r>
      <w:r w:rsidR="000577C0">
        <w:t>water</w:t>
      </w:r>
      <w:r w:rsidR="000577C0" w:rsidRPr="002A4520">
        <w:t xml:space="preserve"> and marine species</w:t>
      </w:r>
      <w:r w:rsidR="000577C0">
        <w:t xml:space="preserve"> dataset</w:t>
      </w:r>
      <w:bookmarkEnd w:id="42"/>
    </w:p>
    <w:p w14:paraId="7369A474" w14:textId="573DB1C4" w:rsidR="00AE32FA" w:rsidRDefault="00AE32FA" w:rsidP="009631C5">
      <w:pPr>
        <w:pStyle w:val="Heading5"/>
        <w:rPr>
          <w:lang w:eastAsia="ja-JP"/>
        </w:rPr>
      </w:pPr>
      <w:r>
        <w:rPr>
          <w:lang w:eastAsia="ja-JP"/>
        </w:rPr>
        <w:t>Do data show taxa-specific sensitivity (i.e. through distinct groupings of different taxa types)?</w:t>
      </w:r>
    </w:p>
    <w:p w14:paraId="28B53318" w14:textId="5900DBC4" w:rsidR="000577C0" w:rsidRDefault="00AE32FA" w:rsidP="00AE32FA">
      <w:pPr>
        <w:rPr>
          <w:highlight w:val="cyan"/>
          <w:lang w:eastAsia="ja-JP"/>
        </w:rPr>
      </w:pPr>
      <w:r>
        <w:rPr>
          <w:lang w:eastAsia="ja-JP"/>
        </w:rPr>
        <w:t>The relative sensitivity of freshwater and marine phototrophs and heterotrophs to simazine was compared using box and whisker plots (</w:t>
      </w:r>
      <w:r w:rsidR="00367621">
        <w:rPr>
          <w:lang w:eastAsia="ja-JP"/>
        </w:rPr>
        <w:fldChar w:fldCharType="begin"/>
      </w:r>
      <w:r w:rsidR="00367621">
        <w:rPr>
          <w:lang w:eastAsia="ja-JP"/>
        </w:rPr>
        <w:instrText xml:space="preserve"> REF _Ref185510191 \h </w:instrText>
      </w:r>
      <w:r w:rsidR="00367621">
        <w:rPr>
          <w:lang w:eastAsia="ja-JP"/>
        </w:rPr>
      </w:r>
      <w:r w:rsidR="00367621">
        <w:rPr>
          <w:lang w:eastAsia="ja-JP"/>
        </w:rPr>
        <w:fldChar w:fldCharType="separate"/>
      </w:r>
      <w:r w:rsidR="00E74306">
        <w:t>Figure B </w:t>
      </w:r>
      <w:r w:rsidR="00E74306">
        <w:rPr>
          <w:noProof/>
        </w:rPr>
        <w:t>3</w:t>
      </w:r>
      <w:r w:rsidR="00367621">
        <w:rPr>
          <w:lang w:eastAsia="ja-JP"/>
        </w:rPr>
        <w:fldChar w:fldCharType="end"/>
      </w:r>
      <w:r>
        <w:rPr>
          <w:lang w:eastAsia="ja-JP"/>
        </w:rPr>
        <w:t>) and a species sensitivity distribution</w:t>
      </w:r>
      <w:r w:rsidR="000577C0">
        <w:rPr>
          <w:lang w:eastAsia="ja-JP"/>
        </w:rPr>
        <w:t xml:space="preserve"> (SSD)</w:t>
      </w:r>
      <w:r>
        <w:rPr>
          <w:lang w:eastAsia="ja-JP"/>
        </w:rPr>
        <w:t xml:space="preserve"> (</w:t>
      </w:r>
      <w:r w:rsidR="00367621">
        <w:rPr>
          <w:lang w:eastAsia="ja-JP"/>
        </w:rPr>
        <w:fldChar w:fldCharType="begin"/>
      </w:r>
      <w:r w:rsidR="00367621">
        <w:rPr>
          <w:lang w:eastAsia="ja-JP"/>
        </w:rPr>
        <w:instrText xml:space="preserve"> REF _Ref185510204 \h </w:instrText>
      </w:r>
      <w:r w:rsidR="00367621">
        <w:rPr>
          <w:lang w:eastAsia="ja-JP"/>
        </w:rPr>
      </w:r>
      <w:r w:rsidR="00367621">
        <w:rPr>
          <w:lang w:eastAsia="ja-JP"/>
        </w:rPr>
        <w:fldChar w:fldCharType="separate"/>
      </w:r>
      <w:r w:rsidR="00E74306">
        <w:t>Figure B </w:t>
      </w:r>
      <w:r w:rsidR="00E74306">
        <w:rPr>
          <w:noProof/>
        </w:rPr>
        <w:t>4</w:t>
      </w:r>
      <w:r w:rsidR="00367621">
        <w:rPr>
          <w:lang w:eastAsia="ja-JP"/>
        </w:rPr>
        <w:fldChar w:fldCharType="end"/>
      </w:r>
      <w:r>
        <w:rPr>
          <w:lang w:eastAsia="ja-JP"/>
        </w:rPr>
        <w:t>). These indicate</w:t>
      </w:r>
      <w:r w:rsidR="000577C0">
        <w:rPr>
          <w:lang w:eastAsia="ja-JP"/>
        </w:rPr>
        <w:t>d</w:t>
      </w:r>
      <w:r>
        <w:rPr>
          <w:lang w:eastAsia="ja-JP"/>
        </w:rPr>
        <w:t xml:space="preserve"> that there is not a complete separation in the sensitivity of phototrophs and heterotrophs to simazine</w:t>
      </w:r>
      <w:r w:rsidR="000577C0">
        <w:rPr>
          <w:lang w:eastAsia="ja-JP"/>
        </w:rPr>
        <w:t>; that is,</w:t>
      </w:r>
      <w:r>
        <w:rPr>
          <w:lang w:eastAsia="ja-JP"/>
        </w:rPr>
        <w:t xml:space="preserve"> there is no clear indication of bimodality. </w:t>
      </w:r>
    </w:p>
    <w:p w14:paraId="654C99A0" w14:textId="220A182C" w:rsidR="00AE32FA" w:rsidRDefault="006F7E5D" w:rsidP="00671C44">
      <w:pPr>
        <w:spacing w:after="0"/>
        <w:rPr>
          <w:highlight w:val="cyan"/>
          <w:lang w:eastAsia="ja-JP"/>
        </w:rPr>
      </w:pPr>
      <w:r>
        <w:rPr>
          <w:noProof/>
        </w:rPr>
        <mc:AlternateContent>
          <mc:Choice Requires="cx1">
            <w:drawing>
              <wp:inline distT="0" distB="0" distL="0" distR="0" wp14:anchorId="784E119E" wp14:editId="3DE1D2E0">
                <wp:extent cx="4267200" cy="2726872"/>
                <wp:effectExtent l="0" t="0" r="0" b="16510"/>
                <wp:docPr id="1048147490" name="Chart 1" descr="Figure displays box and whisker plot comparing the sensitivities of phototrophs and heterotrophs to simazine. ">
                  <a:extLst xmlns:a="http://schemas.openxmlformats.org/drawingml/2006/main">
                    <a:ext uri="{FF2B5EF4-FFF2-40B4-BE49-F238E27FC236}">
                      <a16:creationId xmlns:a16="http://schemas.microsoft.com/office/drawing/2014/main" id="{BEF90669-8785-4B59-B8F6-C6D21B99649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8"/>
                  </a:graphicData>
                </a:graphic>
              </wp:inline>
            </w:drawing>
          </mc:Choice>
          <mc:Fallback>
            <w:drawing>
              <wp:inline distT="0" distB="0" distL="0" distR="0" wp14:anchorId="784E119E" wp14:editId="3DE1D2E0">
                <wp:extent cx="4267200" cy="2726872"/>
                <wp:effectExtent l="0" t="0" r="0" b="16510"/>
                <wp:docPr id="1048147490" name="Chart 1" descr="Figure displays box and whisker plot comparing the sensitivities of phototrophs and heterotrophs to simazine. ">
                  <a:extLst xmlns:a="http://schemas.openxmlformats.org/drawingml/2006/main">
                    <a:ext uri="{FF2B5EF4-FFF2-40B4-BE49-F238E27FC236}">
                      <a16:creationId xmlns:a16="http://schemas.microsoft.com/office/drawing/2014/main" id="{BEF90669-8785-4B59-B8F6-C6D21B99649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48147490" name="Chart 1" descr="Figure displays box and whisker plot comparing the sensitivities of phototrophs and heterotrophs to simazine. ">
                          <a:extLst>
                            <a:ext uri="{FF2B5EF4-FFF2-40B4-BE49-F238E27FC236}">
                              <a16:creationId xmlns:a16="http://schemas.microsoft.com/office/drawing/2014/main" id="{BEF90669-8785-4B59-B8F6-C6D21B99649F}"/>
                            </a:ext>
                          </a:extLst>
                        </pic:cNvPr>
                        <pic:cNvPicPr>
                          <a:picLocks noGrp="1" noRot="1" noChangeAspect="1" noMove="1" noResize="1" noEditPoints="1" noAdjustHandles="1" noChangeArrowheads="1" noChangeShapeType="1"/>
                        </pic:cNvPicPr>
                      </pic:nvPicPr>
                      <pic:blipFill>
                        <a:blip r:embed="rId49"/>
                        <a:stretch>
                          <a:fillRect/>
                        </a:stretch>
                      </pic:blipFill>
                      <pic:spPr>
                        <a:xfrm>
                          <a:off x="0" y="0"/>
                          <a:ext cx="4267200" cy="2726690"/>
                        </a:xfrm>
                        <a:prstGeom prst="rect">
                          <a:avLst/>
                        </a:prstGeom>
                      </pic:spPr>
                    </pic:pic>
                  </a:graphicData>
                </a:graphic>
              </wp:inline>
            </w:drawing>
          </mc:Fallback>
        </mc:AlternateContent>
      </w:r>
    </w:p>
    <w:p w14:paraId="26985BA4" w14:textId="1AFD875F" w:rsidR="00F2331F" w:rsidRDefault="00F2331F" w:rsidP="00671C44">
      <w:pPr>
        <w:pStyle w:val="FigureTableNoteSource"/>
        <w:spacing w:after="120"/>
        <w:rPr>
          <w:highlight w:val="cyan"/>
          <w:lang w:eastAsia="ja-JP"/>
        </w:rPr>
      </w:pPr>
      <w:r w:rsidRPr="00A800EE">
        <w:rPr>
          <w:lang w:eastAsia="ja-JP"/>
        </w:rPr>
        <w:t>Note: the line in the box represents the median; ‘x’ represents the mean; unfilled circles represent suspected outliers; filled circles represent known outliers; error bars represent minimum and maximum values.</w:t>
      </w:r>
    </w:p>
    <w:p w14:paraId="31364144" w14:textId="4E9B1B6E" w:rsidR="00AE32FA" w:rsidRDefault="0024444E" w:rsidP="0026789B">
      <w:pPr>
        <w:pStyle w:val="Caption"/>
        <w:keepNext w:val="0"/>
        <w:rPr>
          <w:highlight w:val="cyan"/>
          <w:lang w:eastAsia="ja-JP"/>
        </w:rPr>
      </w:pPr>
      <w:bookmarkStart w:id="43" w:name="_Ref185510191"/>
      <w:bookmarkStart w:id="44" w:name="_Toc189412395"/>
      <w:r>
        <w:t>Figure B </w:t>
      </w:r>
      <w:r w:rsidR="00D7456C">
        <w:fldChar w:fldCharType="begin"/>
      </w:r>
      <w:r w:rsidR="00D7456C">
        <w:instrText xml:space="preserve"> SEQ Figure_B \* ARABIC </w:instrText>
      </w:r>
      <w:r w:rsidR="00D7456C">
        <w:fldChar w:fldCharType="separate"/>
      </w:r>
      <w:r w:rsidR="00E74306">
        <w:rPr>
          <w:noProof/>
        </w:rPr>
        <w:t>3</w:t>
      </w:r>
      <w:r w:rsidR="00D7456C">
        <w:rPr>
          <w:noProof/>
        </w:rPr>
        <w:fldChar w:fldCharType="end"/>
      </w:r>
      <w:bookmarkEnd w:id="43"/>
      <w:r w:rsidR="00AE32FA" w:rsidRPr="00AE32FA">
        <w:rPr>
          <w:lang w:eastAsia="ja-JP"/>
        </w:rPr>
        <w:t xml:space="preserve"> Box</w:t>
      </w:r>
      <w:r w:rsidR="00CF390F">
        <w:rPr>
          <w:lang w:eastAsia="ja-JP"/>
        </w:rPr>
        <w:t xml:space="preserve"> plot, </w:t>
      </w:r>
      <w:r w:rsidR="00446B9A">
        <w:t>comparison of phototroph and heterotroph sensitivity to simazine</w:t>
      </w:r>
      <w:bookmarkEnd w:id="44"/>
    </w:p>
    <w:p w14:paraId="0EC8EEB7" w14:textId="3A08777F" w:rsidR="00AE32FA" w:rsidRDefault="00AE32FA" w:rsidP="00671C44">
      <w:pPr>
        <w:spacing w:after="0"/>
        <w:rPr>
          <w:highlight w:val="cyan"/>
          <w:lang w:eastAsia="ja-JP"/>
        </w:rPr>
      </w:pPr>
      <w:r>
        <w:rPr>
          <w:noProof/>
        </w:rPr>
        <w:lastRenderedPageBreak/>
        <w:drawing>
          <wp:inline distT="0" distB="0" distL="0" distR="0" wp14:anchorId="71DD0F90" wp14:editId="5B907277">
            <wp:extent cx="3906982" cy="3492932"/>
            <wp:effectExtent l="0" t="0" r="0" b="0"/>
            <wp:docPr id="11" name="Picture 11" descr="Figure is a species sensitivity distribution showing the percentage of phototrophs and heterotrophs potentially affected by simazine (micrograms per li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is a species sensitivity distribution showing the percentage of phototrophs and heterotrophs potentially affected by simazine (micrograms per litre). "/>
                    <pic:cNvPicPr/>
                  </pic:nvPicPr>
                  <pic:blipFill rotWithShape="1">
                    <a:blip r:embed="rId50"/>
                    <a:srcRect t="2420" r="770" b="612"/>
                    <a:stretch/>
                  </pic:blipFill>
                  <pic:spPr bwMode="auto">
                    <a:xfrm>
                      <a:off x="0" y="0"/>
                      <a:ext cx="3910913" cy="3496446"/>
                    </a:xfrm>
                    <a:prstGeom prst="rect">
                      <a:avLst/>
                    </a:prstGeom>
                    <a:ln>
                      <a:noFill/>
                    </a:ln>
                    <a:extLst>
                      <a:ext uri="{53640926-AAD7-44D8-BBD7-CCE9431645EC}">
                        <a14:shadowObscured xmlns:a14="http://schemas.microsoft.com/office/drawing/2010/main"/>
                      </a:ext>
                    </a:extLst>
                  </pic:spPr>
                </pic:pic>
              </a:graphicData>
            </a:graphic>
          </wp:inline>
        </w:drawing>
      </w:r>
    </w:p>
    <w:p w14:paraId="2B7A878E" w14:textId="4A81F56B" w:rsidR="00AE32FA" w:rsidRDefault="001404BE" w:rsidP="00AB7CFE">
      <w:pPr>
        <w:pStyle w:val="Caption"/>
        <w:keepNext w:val="0"/>
        <w:rPr>
          <w:lang w:eastAsia="ja-JP"/>
        </w:rPr>
      </w:pPr>
      <w:bookmarkStart w:id="45" w:name="_Ref185510204"/>
      <w:bookmarkStart w:id="46" w:name="_Toc189412396"/>
      <w:r>
        <w:t>Figure B </w:t>
      </w:r>
      <w:r w:rsidR="00D7456C">
        <w:fldChar w:fldCharType="begin"/>
      </w:r>
      <w:r w:rsidR="00D7456C">
        <w:instrText xml:space="preserve"> SEQ Figure_B \* ARABIC </w:instrText>
      </w:r>
      <w:r w:rsidR="00D7456C">
        <w:fldChar w:fldCharType="separate"/>
      </w:r>
      <w:r w:rsidR="00E74306">
        <w:rPr>
          <w:noProof/>
        </w:rPr>
        <w:t>4</w:t>
      </w:r>
      <w:r w:rsidR="00D7456C">
        <w:rPr>
          <w:noProof/>
        </w:rPr>
        <w:fldChar w:fldCharType="end"/>
      </w:r>
      <w:bookmarkEnd w:id="45"/>
      <w:r w:rsidR="00AE32FA">
        <w:rPr>
          <w:lang w:eastAsia="ja-JP"/>
        </w:rPr>
        <w:t xml:space="preserve"> Species sensitivity distribution, </w:t>
      </w:r>
      <w:r w:rsidR="00F2331F">
        <w:t>comparison of phototroph and heterotroph sensitivity</w:t>
      </w:r>
      <w:r w:rsidR="00F2331F" w:rsidRPr="002A4520">
        <w:t xml:space="preserve"> to </w:t>
      </w:r>
      <w:r w:rsidR="00F2331F">
        <w:t>simazine</w:t>
      </w:r>
      <w:bookmarkEnd w:id="46"/>
    </w:p>
    <w:p w14:paraId="59B83E39" w14:textId="324C9277" w:rsidR="00AE32FA" w:rsidRPr="008838B8" w:rsidRDefault="00AE32FA" w:rsidP="008838B8">
      <w:pPr>
        <w:pStyle w:val="Heading5"/>
      </w:pPr>
      <w:r w:rsidRPr="008838B8">
        <w:rPr>
          <w:rStyle w:val="Heading5Char"/>
          <w:b/>
        </w:rPr>
        <w:t>Is it likely that indications of bi</w:t>
      </w:r>
      <w:r w:rsidR="00FB4B71" w:rsidRPr="008838B8">
        <w:rPr>
          <w:rStyle w:val="Heading5Char"/>
          <w:b/>
        </w:rPr>
        <w:t>modality</w:t>
      </w:r>
      <w:r w:rsidRPr="008838B8">
        <w:rPr>
          <w:rStyle w:val="Heading5Char"/>
          <w:b/>
        </w:rPr>
        <w:t xml:space="preserve"> or multimodality or distinct clustering of taxa groups are not</w:t>
      </w:r>
      <w:r w:rsidRPr="008838B8">
        <w:t xml:space="preserve"> due to artefacts of data selection, small sample size, test procedures, or other reasons unrelated to a specific mode of action?</w:t>
      </w:r>
    </w:p>
    <w:p w14:paraId="060BFE95" w14:textId="0C380932" w:rsidR="00AE32FA" w:rsidRDefault="00AE32FA" w:rsidP="00AE32FA">
      <w:pPr>
        <w:rPr>
          <w:highlight w:val="cyan"/>
          <w:lang w:eastAsia="ja-JP"/>
        </w:rPr>
      </w:pPr>
      <w:r>
        <w:rPr>
          <w:lang w:eastAsia="ja-JP"/>
        </w:rPr>
        <w:t>Given that there are data for 27 phototrophs and 17 heterotrophs, it is likely that the distributions are representative, although a bias associated with other factors (e.g. data selection, test procedures, or other reasons unrelated to a specific mode of action) cannot be ruled out.</w:t>
      </w:r>
    </w:p>
    <w:p w14:paraId="0F9A7D49" w14:textId="28F02911" w:rsidR="006471A1" w:rsidRDefault="00AE32FA" w:rsidP="00512B1D">
      <w:pPr>
        <w:rPr>
          <w:lang w:eastAsia="ja-JP"/>
        </w:rPr>
      </w:pPr>
      <w:r w:rsidRPr="00AE32FA">
        <w:rPr>
          <w:lang w:eastAsia="ja-JP"/>
        </w:rPr>
        <w:t xml:space="preserve">While the specific mode of action of simazine and the frequency histogram in </w:t>
      </w:r>
      <w:r w:rsidR="005F2A3D">
        <w:rPr>
          <w:lang w:eastAsia="ja-JP"/>
        </w:rPr>
        <w:fldChar w:fldCharType="begin"/>
      </w:r>
      <w:r w:rsidR="005F2A3D">
        <w:rPr>
          <w:lang w:eastAsia="ja-JP"/>
        </w:rPr>
        <w:instrText xml:space="preserve"> REF _Ref185510177 \h </w:instrText>
      </w:r>
      <w:r w:rsidR="005F2A3D">
        <w:rPr>
          <w:lang w:eastAsia="ja-JP"/>
        </w:rPr>
      </w:r>
      <w:r w:rsidR="005F2A3D">
        <w:rPr>
          <w:lang w:eastAsia="ja-JP"/>
        </w:rPr>
        <w:fldChar w:fldCharType="separate"/>
      </w:r>
      <w:r w:rsidR="00E74306">
        <w:t>Figure B </w:t>
      </w:r>
      <w:r w:rsidR="00E74306">
        <w:rPr>
          <w:noProof/>
        </w:rPr>
        <w:t>2</w:t>
      </w:r>
      <w:r w:rsidR="005F2A3D">
        <w:rPr>
          <w:lang w:eastAsia="ja-JP"/>
        </w:rPr>
        <w:fldChar w:fldCharType="end"/>
      </w:r>
      <w:r w:rsidRPr="00AE32FA">
        <w:rPr>
          <w:lang w:eastAsia="ja-JP"/>
        </w:rPr>
        <w:t xml:space="preserve"> suggest that simazine toxicity might not be unimodal, this was not well supported by the other lines of evidence. Although simazine might exhibit some taxa-specific sensitivity (i.e. phototrophs being more sensitive that heterotrophs), it </w:t>
      </w:r>
      <w:r w:rsidR="008838B8">
        <w:rPr>
          <w:lang w:eastAsia="ja-JP"/>
        </w:rPr>
        <w:t>does not indicate</w:t>
      </w:r>
      <w:r w:rsidRPr="00AE32FA">
        <w:rPr>
          <w:lang w:eastAsia="ja-JP"/>
        </w:rPr>
        <w:t xml:space="preserve"> a distinctly bimodal toxicity relationship. </w:t>
      </w:r>
    </w:p>
    <w:p w14:paraId="4522ED21" w14:textId="1F2BDA38" w:rsidR="00AE32FA" w:rsidRDefault="00AE32FA" w:rsidP="00512B1D">
      <w:pPr>
        <w:rPr>
          <w:highlight w:val="cyan"/>
          <w:lang w:eastAsia="ja-JP"/>
        </w:rPr>
      </w:pPr>
      <w:r w:rsidRPr="00AE32FA">
        <w:rPr>
          <w:lang w:eastAsia="ja-JP"/>
        </w:rPr>
        <w:t xml:space="preserve">Overall, the evidence suggests the </w:t>
      </w:r>
      <w:r w:rsidR="006471A1">
        <w:rPr>
          <w:lang w:eastAsia="ja-JP"/>
        </w:rPr>
        <w:t>toxicity</w:t>
      </w:r>
      <w:r w:rsidR="006471A1" w:rsidRPr="00AE32FA">
        <w:rPr>
          <w:lang w:eastAsia="ja-JP"/>
        </w:rPr>
        <w:t xml:space="preserve"> </w:t>
      </w:r>
      <w:r w:rsidRPr="00AE32FA">
        <w:rPr>
          <w:lang w:eastAsia="ja-JP"/>
        </w:rPr>
        <w:t xml:space="preserve">of simazine is likely to be unimodal, which is similar to what has been observed for </w:t>
      </w:r>
      <w:r w:rsidR="006471A1">
        <w:rPr>
          <w:lang w:eastAsia="ja-JP"/>
        </w:rPr>
        <w:t>atrazine (a</w:t>
      </w:r>
      <w:r w:rsidRPr="00AE32FA">
        <w:rPr>
          <w:lang w:eastAsia="ja-JP"/>
        </w:rPr>
        <w:t xml:space="preserve"> similar herbicide</w:t>
      </w:r>
      <w:r w:rsidR="006471A1">
        <w:rPr>
          <w:lang w:eastAsia="ja-JP"/>
        </w:rPr>
        <w:t>)</w:t>
      </w:r>
      <w:r w:rsidRPr="00AE32FA">
        <w:rPr>
          <w:lang w:eastAsia="ja-JP"/>
        </w:rPr>
        <w:t xml:space="preserve">. </w:t>
      </w:r>
      <w:r w:rsidR="00265A2D" w:rsidRPr="00265A2D">
        <w:rPr>
          <w:lang w:eastAsia="ja-JP"/>
        </w:rPr>
        <w:t xml:space="preserve">Therefore, toxicity data for all species were used to derive DGVs for simazine as per Warne et al. (2018). </w:t>
      </w:r>
    </w:p>
    <w:p w14:paraId="77C31ADA" w14:textId="775C329E" w:rsidR="007918CA" w:rsidRDefault="007918CA">
      <w:pPr>
        <w:spacing w:after="0" w:line="240" w:lineRule="auto"/>
        <w:rPr>
          <w:highlight w:val="cyan"/>
          <w:lang w:eastAsia="ja-JP"/>
        </w:rPr>
      </w:pPr>
      <w:r>
        <w:rPr>
          <w:highlight w:val="cyan"/>
          <w:lang w:eastAsia="ja-JP"/>
        </w:rPr>
        <w:br w:type="page"/>
      </w:r>
    </w:p>
    <w:p w14:paraId="11C6D091" w14:textId="76C36D31" w:rsidR="007918CA" w:rsidRDefault="004C0E6F" w:rsidP="004C0E6F">
      <w:pPr>
        <w:pStyle w:val="Heading2"/>
        <w:numPr>
          <w:ilvl w:val="0"/>
          <w:numId w:val="0"/>
        </w:numPr>
      </w:pPr>
      <w:bookmarkStart w:id="47" w:name="_Ref185510781"/>
      <w:bookmarkStart w:id="48" w:name="_Toc189412386"/>
      <w:r>
        <w:lastRenderedPageBreak/>
        <w:t>Appendix </w:t>
      </w:r>
      <w:r w:rsidR="00D7456C">
        <w:fldChar w:fldCharType="begin"/>
      </w:r>
      <w:r w:rsidR="00D7456C">
        <w:instrText xml:space="preserve"> SEQ Appendix \* ALPHABETIC </w:instrText>
      </w:r>
      <w:r w:rsidR="00D7456C">
        <w:fldChar w:fldCharType="separate"/>
      </w:r>
      <w:r w:rsidR="00E74306">
        <w:rPr>
          <w:noProof/>
        </w:rPr>
        <w:t>C</w:t>
      </w:r>
      <w:r w:rsidR="00D7456C">
        <w:rPr>
          <w:noProof/>
        </w:rPr>
        <w:fldChar w:fldCharType="end"/>
      </w:r>
      <w:bookmarkEnd w:id="47"/>
      <w:r w:rsidR="007918CA">
        <w:t>: Explanation of the dataset used to derive the DGVs</w:t>
      </w:r>
      <w:bookmarkEnd w:id="48"/>
    </w:p>
    <w:p w14:paraId="133C0B1E" w14:textId="669D46FD" w:rsidR="007918CA" w:rsidRDefault="007918CA" w:rsidP="007918CA">
      <w:pPr>
        <w:rPr>
          <w:lang w:eastAsia="ja-JP"/>
        </w:rPr>
      </w:pPr>
      <w:r>
        <w:rPr>
          <w:lang w:eastAsia="ja-JP"/>
        </w:rPr>
        <w:t>Three datasets were assessed for their suitability to derive DGVs for simazine in marine water.</w:t>
      </w:r>
    </w:p>
    <w:p w14:paraId="270ED80E" w14:textId="4CFDE100" w:rsidR="00AE32FA" w:rsidRDefault="007918CA" w:rsidP="007918CA">
      <w:pPr>
        <w:rPr>
          <w:lang w:eastAsia="ja-JP"/>
        </w:rPr>
      </w:pPr>
      <w:r>
        <w:rPr>
          <w:lang w:eastAsia="ja-JP"/>
        </w:rPr>
        <w:t>The first dataset consisted of chronic negligible effect data (i.e. NEC, EC10, IC10, NOE</w:t>
      </w:r>
      <w:r w:rsidR="00273E17">
        <w:rPr>
          <w:lang w:eastAsia="ja-JP"/>
        </w:rPr>
        <w:t>L</w:t>
      </w:r>
      <w:r>
        <w:rPr>
          <w:lang w:eastAsia="ja-JP"/>
        </w:rPr>
        <w:t>) for eight marine species that belonged to six phyla, which met the minimum data requirements to derive DGVs using the SSD method. The resulting SSD (</w:t>
      </w:r>
      <w:r w:rsidR="00DD6BF9">
        <w:rPr>
          <w:lang w:eastAsia="ja-JP"/>
        </w:rPr>
        <w:fldChar w:fldCharType="begin"/>
      </w:r>
      <w:r w:rsidR="00DD6BF9">
        <w:rPr>
          <w:lang w:eastAsia="ja-JP"/>
        </w:rPr>
        <w:instrText xml:space="preserve"> REF _Ref185510273 \h </w:instrText>
      </w:r>
      <w:r w:rsidR="00DD6BF9">
        <w:rPr>
          <w:lang w:eastAsia="ja-JP"/>
        </w:rPr>
      </w:r>
      <w:r w:rsidR="00DD6BF9">
        <w:rPr>
          <w:lang w:eastAsia="ja-JP"/>
        </w:rPr>
        <w:fldChar w:fldCharType="separate"/>
      </w:r>
      <w:r w:rsidR="00E74306">
        <w:t>Figure C </w:t>
      </w:r>
      <w:r w:rsidR="00E74306">
        <w:rPr>
          <w:noProof/>
        </w:rPr>
        <w:t>1</w:t>
      </w:r>
      <w:r w:rsidR="00DD6BF9">
        <w:rPr>
          <w:lang w:eastAsia="ja-JP"/>
        </w:rPr>
        <w:fldChar w:fldCharType="end"/>
      </w:r>
      <w:r>
        <w:rPr>
          <w:lang w:eastAsia="ja-JP"/>
        </w:rPr>
        <w:t>) had a poor fit to the data</w:t>
      </w:r>
      <w:r w:rsidR="00395788">
        <w:rPr>
          <w:lang w:eastAsia="ja-JP"/>
        </w:rPr>
        <w:t>,</w:t>
      </w:r>
      <w:r>
        <w:rPr>
          <w:lang w:eastAsia="ja-JP"/>
        </w:rPr>
        <w:t xml:space="preserve"> and </w:t>
      </w:r>
      <w:r w:rsidR="00176425">
        <w:rPr>
          <w:lang w:eastAsia="ja-JP"/>
        </w:rPr>
        <w:t>protective concentrations</w:t>
      </w:r>
      <w:r w:rsidR="00A55DA1">
        <w:rPr>
          <w:lang w:eastAsia="ja-JP"/>
        </w:rPr>
        <w:t xml:space="preserve"> </w:t>
      </w:r>
      <w:r>
        <w:rPr>
          <w:lang w:eastAsia="ja-JP"/>
        </w:rPr>
        <w:t>(</w:t>
      </w:r>
      <w:r w:rsidR="00C72E71">
        <w:rPr>
          <w:lang w:eastAsia="ja-JP"/>
        </w:rPr>
        <w:fldChar w:fldCharType="begin"/>
      </w:r>
      <w:r w:rsidR="00C72E71">
        <w:rPr>
          <w:lang w:eastAsia="ja-JP"/>
        </w:rPr>
        <w:instrText xml:space="preserve"> REF _Ref185510011 \h </w:instrText>
      </w:r>
      <w:r w:rsidR="00C72E71">
        <w:rPr>
          <w:lang w:eastAsia="ja-JP"/>
        </w:rPr>
      </w:r>
      <w:r w:rsidR="00C72E71">
        <w:rPr>
          <w:lang w:eastAsia="ja-JP"/>
        </w:rPr>
        <w:fldChar w:fldCharType="separate"/>
      </w:r>
      <w:r w:rsidR="00E74306">
        <w:t>Table C </w:t>
      </w:r>
      <w:r w:rsidR="00E74306">
        <w:rPr>
          <w:noProof/>
        </w:rPr>
        <w:t>1</w:t>
      </w:r>
      <w:r w:rsidR="00C72E71">
        <w:rPr>
          <w:lang w:eastAsia="ja-JP"/>
        </w:rPr>
        <w:fldChar w:fldCharType="end"/>
      </w:r>
      <w:r>
        <w:rPr>
          <w:lang w:eastAsia="ja-JP"/>
        </w:rPr>
        <w:t xml:space="preserve">) </w:t>
      </w:r>
      <w:r w:rsidR="0016041F">
        <w:rPr>
          <w:lang w:eastAsia="ja-JP"/>
        </w:rPr>
        <w:t>were of</w:t>
      </w:r>
      <w:r>
        <w:rPr>
          <w:lang w:eastAsia="ja-JP"/>
        </w:rPr>
        <w:t xml:space="preserve"> moderate reliability</w:t>
      </w:r>
      <w:r w:rsidR="00395788">
        <w:rPr>
          <w:lang w:eastAsia="ja-JP"/>
        </w:rPr>
        <w:t>.</w:t>
      </w:r>
    </w:p>
    <w:p w14:paraId="27B1F683" w14:textId="7D0468FD" w:rsidR="007918CA" w:rsidRDefault="007918CA" w:rsidP="00671C44">
      <w:pPr>
        <w:spacing w:after="0"/>
        <w:rPr>
          <w:lang w:eastAsia="ja-JP"/>
        </w:rPr>
      </w:pPr>
      <w:r w:rsidRPr="00430BBC">
        <w:rPr>
          <w:noProof/>
          <w:lang w:eastAsia="en-AU"/>
        </w:rPr>
        <w:drawing>
          <wp:inline distT="0" distB="0" distL="0" distR="0" wp14:anchorId="2D3CA4DA" wp14:editId="05CFB290">
            <wp:extent cx="4114800" cy="3590686"/>
            <wp:effectExtent l="0" t="0" r="0" b="0"/>
            <wp:docPr id="2" name="Picture 2" descr="Figure is a species sensitivity distribution (SSD) that plots the 8 species of the first dataset against simazine concentrations (microgram per litre). Chronic NEC/NOEC/EC10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is a species sensitivity distribution (SSD) that plots the 8 species of the first dataset against simazine concentrations (microgram per litre). Chronic NEC/NOEC/EC10 data are shown."/>
                    <pic:cNvPicPr/>
                  </pic:nvPicPr>
                  <pic:blipFill rotWithShape="1">
                    <a:blip r:embed="rId51"/>
                    <a:srcRect l="1470" t="1236" r="912" b="1041"/>
                    <a:stretch/>
                  </pic:blipFill>
                  <pic:spPr bwMode="auto">
                    <a:xfrm>
                      <a:off x="0" y="0"/>
                      <a:ext cx="4124784" cy="3599398"/>
                    </a:xfrm>
                    <a:prstGeom prst="rect">
                      <a:avLst/>
                    </a:prstGeom>
                    <a:ln>
                      <a:noFill/>
                    </a:ln>
                    <a:extLst>
                      <a:ext uri="{53640926-AAD7-44D8-BBD7-CCE9431645EC}">
                        <a14:shadowObscured xmlns:a14="http://schemas.microsoft.com/office/drawing/2010/main"/>
                      </a:ext>
                    </a:extLst>
                  </pic:spPr>
                </pic:pic>
              </a:graphicData>
            </a:graphic>
          </wp:inline>
        </w:drawing>
      </w:r>
    </w:p>
    <w:p w14:paraId="5C148A35" w14:textId="14A68AC8" w:rsidR="007918CA" w:rsidRDefault="00270EFF" w:rsidP="00270EFF">
      <w:pPr>
        <w:pStyle w:val="Caption"/>
        <w:rPr>
          <w:highlight w:val="cyan"/>
          <w:lang w:eastAsia="ja-JP"/>
        </w:rPr>
      </w:pPr>
      <w:bookmarkStart w:id="49" w:name="_Ref185510273"/>
      <w:bookmarkStart w:id="50" w:name="_Toc189412398"/>
      <w:r>
        <w:t>Figure C </w:t>
      </w:r>
      <w:r w:rsidR="00D7456C">
        <w:fldChar w:fldCharType="begin"/>
      </w:r>
      <w:r w:rsidR="00D7456C">
        <w:instrText xml:space="preserve"> SEQ Figure_C \* ARABIC </w:instrText>
      </w:r>
      <w:r w:rsidR="00D7456C">
        <w:fldChar w:fldCharType="separate"/>
      </w:r>
      <w:r w:rsidR="00E74306">
        <w:rPr>
          <w:noProof/>
        </w:rPr>
        <w:t>1</w:t>
      </w:r>
      <w:r w:rsidR="00D7456C">
        <w:rPr>
          <w:noProof/>
        </w:rPr>
        <w:fldChar w:fldCharType="end"/>
      </w:r>
      <w:bookmarkEnd w:id="49"/>
      <w:r w:rsidR="007918CA" w:rsidRPr="007918CA">
        <w:rPr>
          <w:lang w:eastAsia="ja-JP"/>
        </w:rPr>
        <w:t xml:space="preserve"> Species sensitivity distribution, </w:t>
      </w:r>
      <w:r w:rsidR="0026789B">
        <w:rPr>
          <w:lang w:eastAsia="ja-JP"/>
        </w:rPr>
        <w:t xml:space="preserve">first dataset, </w:t>
      </w:r>
      <w:r w:rsidR="007918CA" w:rsidRPr="007918CA">
        <w:rPr>
          <w:lang w:eastAsia="ja-JP"/>
        </w:rPr>
        <w:t>simazine in marine water</w:t>
      </w:r>
      <w:bookmarkEnd w:id="50"/>
      <w:r w:rsidR="007918CA" w:rsidRPr="007918CA">
        <w:rPr>
          <w:lang w:eastAsia="ja-JP"/>
        </w:rPr>
        <w:t xml:space="preserve"> </w:t>
      </w:r>
    </w:p>
    <w:p w14:paraId="371B2A65" w14:textId="44160C43" w:rsidR="00AE32FA" w:rsidRDefault="00D13D0C" w:rsidP="00D13D0C">
      <w:pPr>
        <w:pStyle w:val="Caption"/>
        <w:rPr>
          <w:highlight w:val="cyan"/>
          <w:lang w:eastAsia="ja-JP"/>
        </w:rPr>
      </w:pPr>
      <w:bookmarkStart w:id="51" w:name="_Ref185510011"/>
      <w:bookmarkStart w:id="52" w:name="_Toc189412406"/>
      <w:r>
        <w:t>Table C </w:t>
      </w:r>
      <w:r w:rsidR="00D7456C">
        <w:fldChar w:fldCharType="begin"/>
      </w:r>
      <w:r w:rsidR="00D7456C">
        <w:instrText xml:space="preserve"> SEQ Table_C \* ARABIC </w:instrText>
      </w:r>
      <w:r w:rsidR="00D7456C">
        <w:fldChar w:fldCharType="separate"/>
      </w:r>
      <w:r w:rsidR="00E74306">
        <w:rPr>
          <w:noProof/>
        </w:rPr>
        <w:t>1</w:t>
      </w:r>
      <w:r w:rsidR="00D7456C">
        <w:rPr>
          <w:noProof/>
        </w:rPr>
        <w:fldChar w:fldCharType="end"/>
      </w:r>
      <w:bookmarkEnd w:id="51"/>
      <w:r w:rsidR="007918CA">
        <w:rPr>
          <w:lang w:eastAsia="ja-JP"/>
        </w:rPr>
        <w:t xml:space="preserve"> Protective concentration</w:t>
      </w:r>
      <w:r w:rsidR="0026789B">
        <w:rPr>
          <w:lang w:eastAsia="ja-JP"/>
        </w:rPr>
        <w:t>s</w:t>
      </w:r>
      <w:r w:rsidR="00EC408B">
        <w:rPr>
          <w:lang w:eastAsia="ja-JP"/>
        </w:rPr>
        <w:t>,</w:t>
      </w:r>
      <w:r w:rsidR="007918CA">
        <w:rPr>
          <w:lang w:eastAsia="ja-JP"/>
        </w:rPr>
        <w:t xml:space="preserve"> </w:t>
      </w:r>
      <w:r w:rsidR="0026789B">
        <w:rPr>
          <w:lang w:eastAsia="ja-JP"/>
        </w:rPr>
        <w:t xml:space="preserve">first dataset, </w:t>
      </w:r>
      <w:r w:rsidR="007918CA">
        <w:rPr>
          <w:lang w:eastAsia="ja-JP"/>
        </w:rPr>
        <w:t xml:space="preserve">simazine </w:t>
      </w:r>
      <w:r w:rsidR="00EC408B">
        <w:rPr>
          <w:lang w:eastAsia="ja-JP"/>
        </w:rPr>
        <w:t>in marine water</w:t>
      </w:r>
      <w:r w:rsidR="004577D3">
        <w:rPr>
          <w:lang w:eastAsia="ja-JP"/>
        </w:rPr>
        <w:t>, moderate reliability</w:t>
      </w:r>
      <w:bookmarkEnd w:id="52"/>
      <w:r w:rsidR="004577D3">
        <w:rPr>
          <w:lang w:eastAsia="ja-JP"/>
        </w:rPr>
        <w:t xml:space="preserve"> </w:t>
      </w:r>
    </w:p>
    <w:tbl>
      <w:tblPr>
        <w:tblW w:w="5000" w:type="pct"/>
        <w:tblBorders>
          <w:top w:val="nil"/>
          <w:left w:val="nil"/>
          <w:bottom w:val="nil"/>
          <w:right w:val="nil"/>
          <w:insideH w:val="nil"/>
          <w:insideV w:val="nil"/>
        </w:tblBorders>
        <w:tblLook w:val="0400" w:firstRow="0" w:lastRow="0" w:firstColumn="0" w:lastColumn="0" w:noHBand="0" w:noVBand="1"/>
        <w:tblCaption w:val="Protective concentration values, simazine in marine water, moderate reliability"/>
        <w:tblDescription w:val="Table shows the protective concentrations of the first dataset for a range of protection levels for simazine in marine water. The levels of species protection are 99%, 95%, 90% and 80%. The corresponding protective concentrations are 21, 31, 40 and 55 (microgram per litre), respectively."/>
      </w:tblPr>
      <w:tblGrid>
        <w:gridCol w:w="4111"/>
        <w:gridCol w:w="4959"/>
      </w:tblGrid>
      <w:tr w:rsidR="007918CA" w14:paraId="105C686C" w14:textId="77777777" w:rsidTr="0026789B">
        <w:trPr>
          <w:cantSplit/>
          <w:tblHeader/>
        </w:trPr>
        <w:tc>
          <w:tcPr>
            <w:tcW w:w="2266" w:type="pct"/>
            <w:tcBorders>
              <w:top w:val="single" w:sz="12" w:space="0" w:color="000000"/>
              <w:bottom w:val="single" w:sz="12" w:space="0" w:color="000000"/>
            </w:tcBorders>
          </w:tcPr>
          <w:p w14:paraId="491BFAFB" w14:textId="348DD073" w:rsidR="00BD524F" w:rsidRDefault="007918CA" w:rsidP="00533032">
            <w:pPr>
              <w:pStyle w:val="TableHeading"/>
            </w:pPr>
            <w:r>
              <w:t>Level of species protection (%)</w:t>
            </w:r>
          </w:p>
        </w:tc>
        <w:tc>
          <w:tcPr>
            <w:tcW w:w="2734" w:type="pct"/>
            <w:tcBorders>
              <w:top w:val="single" w:sz="12" w:space="0" w:color="000000"/>
              <w:bottom w:val="single" w:sz="12" w:space="0" w:color="000000"/>
            </w:tcBorders>
          </w:tcPr>
          <w:p w14:paraId="517854DC" w14:textId="51900429" w:rsidR="007918CA" w:rsidRDefault="007918CA" w:rsidP="00533032">
            <w:pPr>
              <w:pStyle w:val="TableHeading"/>
            </w:pPr>
            <w:r>
              <w:t>P</w:t>
            </w:r>
            <w:r w:rsidR="00EC408B">
              <w:t>rotective concentration</w:t>
            </w:r>
            <w:r w:rsidR="00BD524F">
              <w:t>s</w:t>
            </w:r>
            <w:r>
              <w:t xml:space="preserve"> for simazine in marine water (µg/L) </w:t>
            </w:r>
            <w:r w:rsidRPr="00533032">
              <w:rPr>
                <w:rStyle w:val="Strong"/>
                <w:vertAlign w:val="superscript"/>
              </w:rPr>
              <w:t>a</w:t>
            </w:r>
          </w:p>
        </w:tc>
      </w:tr>
      <w:tr w:rsidR="007918CA" w14:paraId="53EE42E6" w14:textId="77777777" w:rsidTr="0026789B">
        <w:trPr>
          <w:cantSplit/>
          <w:trHeight w:val="284"/>
        </w:trPr>
        <w:tc>
          <w:tcPr>
            <w:tcW w:w="2266" w:type="pct"/>
            <w:tcBorders>
              <w:top w:val="single" w:sz="12" w:space="0" w:color="000000"/>
              <w:bottom w:val="single" w:sz="4" w:space="0" w:color="000000"/>
            </w:tcBorders>
          </w:tcPr>
          <w:p w14:paraId="441EAB4F" w14:textId="77777777" w:rsidR="007918CA" w:rsidRDefault="007918CA" w:rsidP="00533032">
            <w:pPr>
              <w:pStyle w:val="TableText"/>
            </w:pPr>
            <w:r>
              <w:t>99</w:t>
            </w:r>
          </w:p>
        </w:tc>
        <w:tc>
          <w:tcPr>
            <w:tcW w:w="2734" w:type="pct"/>
            <w:tcBorders>
              <w:top w:val="single" w:sz="12" w:space="0" w:color="000000"/>
              <w:bottom w:val="single" w:sz="4" w:space="0" w:color="000000"/>
            </w:tcBorders>
          </w:tcPr>
          <w:p w14:paraId="679ED8C1" w14:textId="77777777" w:rsidR="007918CA" w:rsidRDefault="007918CA" w:rsidP="00533032">
            <w:pPr>
              <w:pStyle w:val="TableText"/>
            </w:pPr>
            <w:r>
              <w:t>21</w:t>
            </w:r>
          </w:p>
        </w:tc>
      </w:tr>
      <w:tr w:rsidR="007918CA" w14:paraId="7403BED2" w14:textId="77777777" w:rsidTr="0026789B">
        <w:trPr>
          <w:cantSplit/>
          <w:trHeight w:val="284"/>
        </w:trPr>
        <w:tc>
          <w:tcPr>
            <w:tcW w:w="2266" w:type="pct"/>
            <w:tcBorders>
              <w:top w:val="single" w:sz="4" w:space="0" w:color="000000"/>
              <w:bottom w:val="single" w:sz="4" w:space="0" w:color="000000"/>
            </w:tcBorders>
          </w:tcPr>
          <w:p w14:paraId="768942C6" w14:textId="77777777" w:rsidR="007918CA" w:rsidRDefault="007918CA" w:rsidP="00533032">
            <w:pPr>
              <w:pStyle w:val="TableText"/>
            </w:pPr>
            <w:r>
              <w:t>95</w:t>
            </w:r>
          </w:p>
        </w:tc>
        <w:tc>
          <w:tcPr>
            <w:tcW w:w="2734" w:type="pct"/>
            <w:tcBorders>
              <w:top w:val="single" w:sz="4" w:space="0" w:color="000000"/>
              <w:bottom w:val="single" w:sz="4" w:space="0" w:color="000000"/>
            </w:tcBorders>
          </w:tcPr>
          <w:p w14:paraId="0AD3A23D" w14:textId="77777777" w:rsidR="007918CA" w:rsidRDefault="007918CA" w:rsidP="00533032">
            <w:pPr>
              <w:pStyle w:val="TableText"/>
            </w:pPr>
            <w:r>
              <w:t>31</w:t>
            </w:r>
          </w:p>
        </w:tc>
      </w:tr>
      <w:tr w:rsidR="007918CA" w14:paraId="4EDCEF36" w14:textId="77777777" w:rsidTr="0026789B">
        <w:trPr>
          <w:cantSplit/>
          <w:trHeight w:val="284"/>
        </w:trPr>
        <w:tc>
          <w:tcPr>
            <w:tcW w:w="2266" w:type="pct"/>
            <w:tcBorders>
              <w:top w:val="single" w:sz="4" w:space="0" w:color="000000"/>
              <w:bottom w:val="single" w:sz="4" w:space="0" w:color="000000"/>
            </w:tcBorders>
          </w:tcPr>
          <w:p w14:paraId="4EBC7520" w14:textId="77777777" w:rsidR="007918CA" w:rsidRDefault="007918CA" w:rsidP="00533032">
            <w:pPr>
              <w:pStyle w:val="TableText"/>
            </w:pPr>
            <w:r>
              <w:t>90</w:t>
            </w:r>
          </w:p>
        </w:tc>
        <w:tc>
          <w:tcPr>
            <w:tcW w:w="2734" w:type="pct"/>
            <w:tcBorders>
              <w:top w:val="single" w:sz="4" w:space="0" w:color="000000"/>
              <w:bottom w:val="single" w:sz="4" w:space="0" w:color="000000"/>
            </w:tcBorders>
          </w:tcPr>
          <w:p w14:paraId="2EE629C3" w14:textId="77777777" w:rsidR="007918CA" w:rsidRDefault="007918CA" w:rsidP="00533032">
            <w:pPr>
              <w:pStyle w:val="TableText"/>
            </w:pPr>
            <w:r>
              <w:t>40</w:t>
            </w:r>
          </w:p>
        </w:tc>
      </w:tr>
      <w:tr w:rsidR="007918CA" w14:paraId="59B89B16" w14:textId="77777777" w:rsidTr="0026789B">
        <w:trPr>
          <w:cantSplit/>
          <w:trHeight w:val="284"/>
        </w:trPr>
        <w:tc>
          <w:tcPr>
            <w:tcW w:w="2266" w:type="pct"/>
            <w:tcBorders>
              <w:top w:val="single" w:sz="4" w:space="0" w:color="000000"/>
              <w:bottom w:val="single" w:sz="12" w:space="0" w:color="000000"/>
            </w:tcBorders>
          </w:tcPr>
          <w:p w14:paraId="0CD1CE80" w14:textId="77777777" w:rsidR="007918CA" w:rsidRDefault="007918CA" w:rsidP="00533032">
            <w:pPr>
              <w:pStyle w:val="TableText"/>
            </w:pPr>
            <w:r>
              <w:t>80</w:t>
            </w:r>
          </w:p>
        </w:tc>
        <w:tc>
          <w:tcPr>
            <w:tcW w:w="2734" w:type="pct"/>
            <w:tcBorders>
              <w:top w:val="single" w:sz="4" w:space="0" w:color="000000"/>
              <w:bottom w:val="single" w:sz="12" w:space="0" w:color="000000"/>
            </w:tcBorders>
          </w:tcPr>
          <w:p w14:paraId="67EBBCD8" w14:textId="77777777" w:rsidR="007918CA" w:rsidRDefault="007918CA" w:rsidP="00533032">
            <w:pPr>
              <w:pStyle w:val="TableText"/>
            </w:pPr>
            <w:r>
              <w:t>55</w:t>
            </w:r>
          </w:p>
        </w:tc>
      </w:tr>
    </w:tbl>
    <w:p w14:paraId="4CB8907A" w14:textId="36EE6B68" w:rsidR="007918CA" w:rsidRDefault="007918CA" w:rsidP="00533032">
      <w:pPr>
        <w:pStyle w:val="FigureTableNoteSource"/>
        <w:rPr>
          <w:lang w:eastAsia="ja-JP"/>
        </w:rPr>
      </w:pPr>
      <w:r w:rsidRPr="00533032">
        <w:rPr>
          <w:rStyle w:val="Strong"/>
          <w:lang w:eastAsia="ja-JP"/>
        </w:rPr>
        <w:t>a</w:t>
      </w:r>
      <w:r>
        <w:rPr>
          <w:lang w:eastAsia="ja-JP"/>
        </w:rPr>
        <w:t xml:space="preserve"> Protective concentration</w:t>
      </w:r>
      <w:r w:rsidR="0026789B">
        <w:rPr>
          <w:lang w:eastAsia="ja-JP"/>
        </w:rPr>
        <w:t>s</w:t>
      </w:r>
      <w:r w:rsidR="00D93C9B">
        <w:rPr>
          <w:lang w:eastAsia="ja-JP"/>
        </w:rPr>
        <w:t xml:space="preserve"> </w:t>
      </w:r>
      <w:r>
        <w:rPr>
          <w:lang w:eastAsia="ja-JP"/>
        </w:rPr>
        <w:t xml:space="preserve">were derived using Burrlioz 2.0 software and rounded to two significant figures. </w:t>
      </w:r>
    </w:p>
    <w:p w14:paraId="0522CF80" w14:textId="69943726" w:rsidR="007918CA" w:rsidRDefault="007918CA" w:rsidP="007918CA">
      <w:pPr>
        <w:rPr>
          <w:lang w:eastAsia="ja-JP"/>
        </w:rPr>
      </w:pPr>
      <w:r>
        <w:rPr>
          <w:lang w:eastAsia="ja-JP"/>
        </w:rPr>
        <w:t>The close proximity of the 95% species protection value (31</w:t>
      </w:r>
      <w:r w:rsidR="00965C6F">
        <w:rPr>
          <w:lang w:eastAsia="ja-JP"/>
        </w:rPr>
        <w:t> </w:t>
      </w:r>
      <w:r>
        <w:rPr>
          <w:lang w:eastAsia="ja-JP"/>
        </w:rPr>
        <w:t>µg/L) to the two lowest toxicity values (i.e. 37.5</w:t>
      </w:r>
      <w:r w:rsidR="00965C6F">
        <w:rPr>
          <w:lang w:eastAsia="ja-JP"/>
        </w:rPr>
        <w:t> µg/L</w:t>
      </w:r>
      <w:r>
        <w:rPr>
          <w:lang w:eastAsia="ja-JP"/>
        </w:rPr>
        <w:t xml:space="preserve"> and 38.4</w:t>
      </w:r>
      <w:r w:rsidR="00965C6F">
        <w:rPr>
          <w:lang w:eastAsia="ja-JP"/>
        </w:rPr>
        <w:t> </w:t>
      </w:r>
      <w:r>
        <w:rPr>
          <w:lang w:eastAsia="ja-JP"/>
        </w:rPr>
        <w:t xml:space="preserve">µg/L, </w:t>
      </w:r>
      <w:r w:rsidR="00DD6BF9">
        <w:rPr>
          <w:lang w:eastAsia="ja-JP"/>
        </w:rPr>
        <w:fldChar w:fldCharType="begin"/>
      </w:r>
      <w:r w:rsidR="00DD6BF9">
        <w:rPr>
          <w:lang w:eastAsia="ja-JP"/>
        </w:rPr>
        <w:instrText xml:space="preserve"> REF _Ref185510273 \h </w:instrText>
      </w:r>
      <w:r w:rsidR="00DD6BF9">
        <w:rPr>
          <w:lang w:eastAsia="ja-JP"/>
        </w:rPr>
      </w:r>
      <w:r w:rsidR="00DD6BF9">
        <w:rPr>
          <w:lang w:eastAsia="ja-JP"/>
        </w:rPr>
        <w:fldChar w:fldCharType="separate"/>
      </w:r>
      <w:r w:rsidR="00E74306">
        <w:t>Figure C </w:t>
      </w:r>
      <w:r w:rsidR="00E74306">
        <w:rPr>
          <w:noProof/>
        </w:rPr>
        <w:t>1</w:t>
      </w:r>
      <w:r w:rsidR="00DD6BF9">
        <w:rPr>
          <w:lang w:eastAsia="ja-JP"/>
        </w:rPr>
        <w:fldChar w:fldCharType="end"/>
      </w:r>
      <w:r>
        <w:rPr>
          <w:lang w:eastAsia="ja-JP"/>
        </w:rPr>
        <w:t>)</w:t>
      </w:r>
      <w:r w:rsidR="00276924">
        <w:rPr>
          <w:lang w:eastAsia="ja-JP"/>
        </w:rPr>
        <w:t>,</w:t>
      </w:r>
      <w:r>
        <w:rPr>
          <w:lang w:eastAsia="ja-JP"/>
        </w:rPr>
        <w:t xml:space="preserve"> which represent 25% of the data in the SSD, suggests that </w:t>
      </w:r>
      <w:r w:rsidR="00623B45">
        <w:rPr>
          <w:lang w:eastAsia="ja-JP"/>
        </w:rPr>
        <w:t>the value</w:t>
      </w:r>
      <w:r>
        <w:rPr>
          <w:lang w:eastAsia="ja-JP"/>
        </w:rPr>
        <w:t xml:space="preserve"> may not provide adequate protection (i.e.</w:t>
      </w:r>
      <w:r w:rsidR="00623B45">
        <w:rPr>
          <w:lang w:eastAsia="ja-JP"/>
        </w:rPr>
        <w:t xml:space="preserve"> it should </w:t>
      </w:r>
      <w:r>
        <w:rPr>
          <w:lang w:eastAsia="ja-JP"/>
        </w:rPr>
        <w:t xml:space="preserve">protect as few as 75% of species). Under such circumstances, Warne et al. (2018) recommend that a more conservative value is </w:t>
      </w:r>
      <w:r>
        <w:rPr>
          <w:lang w:eastAsia="ja-JP"/>
        </w:rPr>
        <w:lastRenderedPageBreak/>
        <w:t xml:space="preserve">adopted. Another limitation of this dataset is that the fit of the SSD to the data is poor, with the resulting </w:t>
      </w:r>
      <w:r w:rsidR="00F41965">
        <w:rPr>
          <w:lang w:eastAsia="ja-JP"/>
        </w:rPr>
        <w:t xml:space="preserve">protection concentration </w:t>
      </w:r>
      <w:r>
        <w:rPr>
          <w:lang w:eastAsia="ja-JP"/>
        </w:rPr>
        <w:t xml:space="preserve">values having a moderate reliability if they were used as DGVs. </w:t>
      </w:r>
    </w:p>
    <w:p w14:paraId="0C26D499" w14:textId="569CE750" w:rsidR="007918CA" w:rsidRDefault="007918CA" w:rsidP="007918CA">
      <w:pPr>
        <w:rPr>
          <w:highlight w:val="cyan"/>
          <w:lang w:eastAsia="ja-JP"/>
        </w:rPr>
      </w:pPr>
      <w:r>
        <w:rPr>
          <w:lang w:eastAsia="ja-JP"/>
        </w:rPr>
        <w:t>Given the above limitations, a second dataset was created by including chronic EC50 data that had been converted to chronic negligible effect data based on Warne et al. (2018) to determine if a better fitting SSD and, therefore higher reliability DGVs, could be generated. In doing this, toxicity data for an additional three species were added. The fit of the SSD to the data remained poor (</w:t>
      </w:r>
      <w:r w:rsidR="00DD6BF9">
        <w:rPr>
          <w:lang w:eastAsia="ja-JP"/>
        </w:rPr>
        <w:fldChar w:fldCharType="begin"/>
      </w:r>
      <w:r w:rsidR="00DD6BF9">
        <w:rPr>
          <w:lang w:eastAsia="ja-JP"/>
        </w:rPr>
        <w:instrText xml:space="preserve"> REF _Ref185510304 \h </w:instrText>
      </w:r>
      <w:r w:rsidR="00DD6BF9">
        <w:rPr>
          <w:lang w:eastAsia="ja-JP"/>
        </w:rPr>
      </w:r>
      <w:r w:rsidR="00DD6BF9">
        <w:rPr>
          <w:lang w:eastAsia="ja-JP"/>
        </w:rPr>
        <w:fldChar w:fldCharType="separate"/>
      </w:r>
      <w:r w:rsidR="00E74306">
        <w:t>Figure C </w:t>
      </w:r>
      <w:r w:rsidR="00E74306">
        <w:rPr>
          <w:noProof/>
        </w:rPr>
        <w:t>2</w:t>
      </w:r>
      <w:r w:rsidR="00DD6BF9">
        <w:rPr>
          <w:lang w:eastAsia="ja-JP"/>
        </w:rPr>
        <w:fldChar w:fldCharType="end"/>
      </w:r>
      <w:r>
        <w:rPr>
          <w:lang w:eastAsia="ja-JP"/>
        </w:rPr>
        <w:t>) with the resulting values (</w:t>
      </w:r>
      <w:r w:rsidR="00C72E71">
        <w:rPr>
          <w:lang w:eastAsia="ja-JP"/>
        </w:rPr>
        <w:fldChar w:fldCharType="begin"/>
      </w:r>
      <w:r w:rsidR="00C72E71">
        <w:rPr>
          <w:lang w:eastAsia="ja-JP"/>
        </w:rPr>
        <w:instrText xml:space="preserve"> REF _Ref185510024 \h </w:instrText>
      </w:r>
      <w:r w:rsidR="00C72E71">
        <w:rPr>
          <w:lang w:eastAsia="ja-JP"/>
        </w:rPr>
      </w:r>
      <w:r w:rsidR="00C72E71">
        <w:rPr>
          <w:lang w:eastAsia="ja-JP"/>
        </w:rPr>
        <w:fldChar w:fldCharType="separate"/>
      </w:r>
      <w:r w:rsidR="00E74306">
        <w:t>Table C </w:t>
      </w:r>
      <w:r w:rsidR="00E74306">
        <w:rPr>
          <w:noProof/>
        </w:rPr>
        <w:t>2</w:t>
      </w:r>
      <w:r w:rsidR="00C72E71">
        <w:rPr>
          <w:lang w:eastAsia="ja-JP"/>
        </w:rPr>
        <w:fldChar w:fldCharType="end"/>
      </w:r>
      <w:r>
        <w:rPr>
          <w:lang w:eastAsia="ja-JP"/>
        </w:rPr>
        <w:t>) having a moderate reliability if they were used as DGVs.</w:t>
      </w:r>
    </w:p>
    <w:p w14:paraId="36ADF20C" w14:textId="4023D596" w:rsidR="007918CA" w:rsidRDefault="007918CA" w:rsidP="00671C44">
      <w:pPr>
        <w:spacing w:after="0"/>
        <w:rPr>
          <w:highlight w:val="cyan"/>
          <w:lang w:eastAsia="ja-JP"/>
        </w:rPr>
      </w:pPr>
      <w:r>
        <w:rPr>
          <w:noProof/>
        </w:rPr>
        <w:drawing>
          <wp:inline distT="0" distB="0" distL="0" distR="0" wp14:anchorId="39C5A48C" wp14:editId="0F1C2995">
            <wp:extent cx="4010891" cy="3606635"/>
            <wp:effectExtent l="0" t="0" r="8890" b="0"/>
            <wp:docPr id="14" name="Picture 14" descr="Figure is a species sensitivity distribution (SSD) that plots the 11 species of the second dataset against simazine concentrations (microgram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is a species sensitivity distribution (SSD) that plots the 11 species of the second dataset against simazine concentrations (microgram per litre)."/>
                    <pic:cNvPicPr/>
                  </pic:nvPicPr>
                  <pic:blipFill rotWithShape="1">
                    <a:blip r:embed="rId52"/>
                    <a:srcRect t="6852" r="2956" b="1340"/>
                    <a:stretch/>
                  </pic:blipFill>
                  <pic:spPr bwMode="auto">
                    <a:xfrm>
                      <a:off x="0" y="0"/>
                      <a:ext cx="4016904" cy="3612042"/>
                    </a:xfrm>
                    <a:prstGeom prst="rect">
                      <a:avLst/>
                    </a:prstGeom>
                    <a:ln>
                      <a:noFill/>
                    </a:ln>
                    <a:extLst>
                      <a:ext uri="{53640926-AAD7-44D8-BBD7-CCE9431645EC}">
                        <a14:shadowObscured xmlns:a14="http://schemas.microsoft.com/office/drawing/2010/main"/>
                      </a:ext>
                    </a:extLst>
                  </pic:spPr>
                </pic:pic>
              </a:graphicData>
            </a:graphic>
          </wp:inline>
        </w:drawing>
      </w:r>
    </w:p>
    <w:p w14:paraId="3FB0EE5E" w14:textId="570A6320" w:rsidR="007918CA" w:rsidRDefault="00871B18" w:rsidP="00871B18">
      <w:pPr>
        <w:pStyle w:val="Caption"/>
        <w:rPr>
          <w:lang w:eastAsia="ja-JP"/>
        </w:rPr>
      </w:pPr>
      <w:bookmarkStart w:id="53" w:name="_Ref185510304"/>
      <w:bookmarkStart w:id="54" w:name="_Toc189412399"/>
      <w:r>
        <w:t>Figure C </w:t>
      </w:r>
      <w:r w:rsidR="00D7456C">
        <w:fldChar w:fldCharType="begin"/>
      </w:r>
      <w:r w:rsidR="00D7456C">
        <w:instrText xml:space="preserve"> SEQ Figure_C \* ARABIC </w:instrText>
      </w:r>
      <w:r w:rsidR="00D7456C">
        <w:fldChar w:fldCharType="separate"/>
      </w:r>
      <w:r w:rsidR="00E74306">
        <w:rPr>
          <w:noProof/>
        </w:rPr>
        <w:t>2</w:t>
      </w:r>
      <w:r w:rsidR="00D7456C">
        <w:rPr>
          <w:noProof/>
        </w:rPr>
        <w:fldChar w:fldCharType="end"/>
      </w:r>
      <w:bookmarkEnd w:id="53"/>
      <w:r w:rsidR="007918CA">
        <w:rPr>
          <w:lang w:eastAsia="ja-JP"/>
        </w:rPr>
        <w:t xml:space="preserve"> Species sensitivity distribution,</w:t>
      </w:r>
      <w:r w:rsidR="0026789B">
        <w:rPr>
          <w:lang w:eastAsia="ja-JP"/>
        </w:rPr>
        <w:t xml:space="preserve"> second dataset,</w:t>
      </w:r>
      <w:r w:rsidR="007918CA">
        <w:rPr>
          <w:lang w:eastAsia="ja-JP"/>
        </w:rPr>
        <w:t xml:space="preserve"> simazine in marine water</w:t>
      </w:r>
      <w:bookmarkStart w:id="55" w:name="_Toc4498839"/>
      <w:bookmarkEnd w:id="54"/>
    </w:p>
    <w:p w14:paraId="0333D29E" w14:textId="5292787F" w:rsidR="007918CA" w:rsidRDefault="00871B18" w:rsidP="00871B18">
      <w:pPr>
        <w:pStyle w:val="Caption"/>
        <w:rPr>
          <w:highlight w:val="cyan"/>
          <w:lang w:eastAsia="ja-JP"/>
        </w:rPr>
      </w:pPr>
      <w:bookmarkStart w:id="56" w:name="_Ref185510024"/>
      <w:bookmarkStart w:id="57" w:name="_Toc189412407"/>
      <w:r>
        <w:t>Table C </w:t>
      </w:r>
      <w:r w:rsidR="00D7456C">
        <w:fldChar w:fldCharType="begin"/>
      </w:r>
      <w:r w:rsidR="00D7456C">
        <w:instrText xml:space="preserve"> SEQ Table_C \* ARABIC </w:instrText>
      </w:r>
      <w:r w:rsidR="00D7456C">
        <w:fldChar w:fldCharType="separate"/>
      </w:r>
      <w:r w:rsidR="00E74306">
        <w:rPr>
          <w:noProof/>
        </w:rPr>
        <w:t>2</w:t>
      </w:r>
      <w:r w:rsidR="00D7456C">
        <w:rPr>
          <w:noProof/>
        </w:rPr>
        <w:fldChar w:fldCharType="end"/>
      </w:r>
      <w:bookmarkEnd w:id="56"/>
      <w:r w:rsidR="007918CA">
        <w:rPr>
          <w:lang w:eastAsia="ja-JP"/>
        </w:rPr>
        <w:t xml:space="preserve"> Protective concentration</w:t>
      </w:r>
      <w:r w:rsidR="0026789B">
        <w:rPr>
          <w:lang w:eastAsia="ja-JP"/>
        </w:rPr>
        <w:t>s</w:t>
      </w:r>
      <w:r w:rsidR="00D055B1">
        <w:rPr>
          <w:lang w:eastAsia="ja-JP"/>
        </w:rPr>
        <w:t>,</w:t>
      </w:r>
      <w:r w:rsidR="007918CA">
        <w:rPr>
          <w:lang w:eastAsia="ja-JP"/>
        </w:rPr>
        <w:t xml:space="preserve"> </w:t>
      </w:r>
      <w:r w:rsidR="0026789B">
        <w:rPr>
          <w:lang w:eastAsia="ja-JP"/>
        </w:rPr>
        <w:t xml:space="preserve">second dataset, </w:t>
      </w:r>
      <w:r w:rsidR="007918CA">
        <w:rPr>
          <w:lang w:eastAsia="ja-JP"/>
        </w:rPr>
        <w:t xml:space="preserve">simazine </w:t>
      </w:r>
      <w:r w:rsidR="00D055B1">
        <w:rPr>
          <w:lang w:eastAsia="ja-JP"/>
        </w:rPr>
        <w:t xml:space="preserve">in </w:t>
      </w:r>
      <w:r w:rsidR="007918CA">
        <w:rPr>
          <w:lang w:eastAsia="ja-JP"/>
        </w:rPr>
        <w:t xml:space="preserve">marine </w:t>
      </w:r>
      <w:r w:rsidR="00D055B1">
        <w:rPr>
          <w:lang w:eastAsia="ja-JP"/>
        </w:rPr>
        <w:t>water</w:t>
      </w:r>
      <w:r w:rsidR="00EC2450">
        <w:rPr>
          <w:lang w:eastAsia="ja-JP"/>
        </w:rPr>
        <w:t>, moderate reliability</w:t>
      </w:r>
      <w:bookmarkEnd w:id="5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ive concentration values, simazine in marine water, moderate reliability"/>
        <w:tblDescription w:val="Table shows the protective concentrations of the second dataset for a range of protection levels for simazine in marine water. The levels of species protection are 99%, 95%, 90% and 80%. The corresponding protective concentrations are 23, 35, 46 and 65 (microgram per litre), respectively."/>
      </w:tblPr>
      <w:tblGrid>
        <w:gridCol w:w="4111"/>
        <w:gridCol w:w="4959"/>
      </w:tblGrid>
      <w:tr w:rsidR="007B24E4" w:rsidRPr="00A372D1" w14:paraId="5355D8BE" w14:textId="77777777" w:rsidTr="0026789B">
        <w:trPr>
          <w:cantSplit/>
          <w:tblHeader/>
        </w:trPr>
        <w:tc>
          <w:tcPr>
            <w:tcW w:w="2266" w:type="pct"/>
            <w:tcBorders>
              <w:top w:val="single" w:sz="12" w:space="0" w:color="auto"/>
              <w:bottom w:val="single" w:sz="12" w:space="0" w:color="auto"/>
            </w:tcBorders>
          </w:tcPr>
          <w:p w14:paraId="4AC41EA1" w14:textId="77777777" w:rsidR="007B24E4" w:rsidRPr="00A372D1" w:rsidRDefault="007B24E4" w:rsidP="00533032">
            <w:pPr>
              <w:pStyle w:val="TableHeading"/>
            </w:pPr>
            <w:r w:rsidRPr="00A372D1">
              <w:t>Level of species protection (%)</w:t>
            </w:r>
          </w:p>
        </w:tc>
        <w:tc>
          <w:tcPr>
            <w:tcW w:w="2734" w:type="pct"/>
            <w:tcBorders>
              <w:top w:val="single" w:sz="12" w:space="0" w:color="auto"/>
              <w:bottom w:val="single" w:sz="12" w:space="0" w:color="auto"/>
            </w:tcBorders>
          </w:tcPr>
          <w:p w14:paraId="60D7D6BC" w14:textId="44414AF3" w:rsidR="007B24E4" w:rsidRPr="00A372D1" w:rsidRDefault="0005345C" w:rsidP="00533032">
            <w:pPr>
              <w:pStyle w:val="TableHeading"/>
            </w:pPr>
            <w:r w:rsidRPr="0005345C">
              <w:t>Protective concentration</w:t>
            </w:r>
            <w:r w:rsidR="0026789B">
              <w:t>s</w:t>
            </w:r>
            <w:r w:rsidR="007B24E4" w:rsidRPr="00A372D1">
              <w:t xml:space="preserve"> for simazine in marine water (</w:t>
            </w:r>
            <w:r w:rsidR="007B24E4" w:rsidRPr="00F767DB">
              <w:t>µ</w:t>
            </w:r>
            <w:r w:rsidR="007B24E4" w:rsidRPr="00A372D1">
              <w:t xml:space="preserve">g/L) </w:t>
            </w:r>
            <w:r w:rsidR="007B24E4" w:rsidRPr="00533032">
              <w:rPr>
                <w:rStyle w:val="Strong"/>
                <w:vertAlign w:val="superscript"/>
              </w:rPr>
              <w:t>a</w:t>
            </w:r>
          </w:p>
        </w:tc>
      </w:tr>
      <w:tr w:rsidR="007B24E4" w:rsidRPr="00A372D1" w14:paraId="4FE8900B" w14:textId="77777777" w:rsidTr="0026789B">
        <w:trPr>
          <w:cantSplit/>
          <w:trHeight w:val="284"/>
        </w:trPr>
        <w:tc>
          <w:tcPr>
            <w:tcW w:w="2266" w:type="pct"/>
            <w:tcBorders>
              <w:top w:val="single" w:sz="12" w:space="0" w:color="auto"/>
              <w:bottom w:val="single" w:sz="4" w:space="0" w:color="auto"/>
            </w:tcBorders>
          </w:tcPr>
          <w:p w14:paraId="1F68C0D3" w14:textId="77777777" w:rsidR="007B24E4" w:rsidRPr="00A372D1" w:rsidRDefault="007B24E4" w:rsidP="00533032">
            <w:pPr>
              <w:pStyle w:val="TableText"/>
            </w:pPr>
            <w:r w:rsidRPr="00A372D1">
              <w:t>99</w:t>
            </w:r>
          </w:p>
        </w:tc>
        <w:tc>
          <w:tcPr>
            <w:tcW w:w="2734" w:type="pct"/>
            <w:tcBorders>
              <w:top w:val="single" w:sz="12" w:space="0" w:color="auto"/>
              <w:bottom w:val="single" w:sz="4" w:space="0" w:color="auto"/>
            </w:tcBorders>
          </w:tcPr>
          <w:p w14:paraId="10BA234A" w14:textId="77777777" w:rsidR="007B24E4" w:rsidRPr="00A372D1" w:rsidRDefault="007B24E4" w:rsidP="00533032">
            <w:pPr>
              <w:pStyle w:val="TableText"/>
            </w:pPr>
            <w:r w:rsidRPr="00A372D1">
              <w:t>23</w:t>
            </w:r>
          </w:p>
        </w:tc>
      </w:tr>
      <w:tr w:rsidR="007B24E4" w:rsidRPr="00A372D1" w14:paraId="00090A25" w14:textId="77777777" w:rsidTr="0026789B">
        <w:trPr>
          <w:cantSplit/>
          <w:trHeight w:val="284"/>
        </w:trPr>
        <w:tc>
          <w:tcPr>
            <w:tcW w:w="2266" w:type="pct"/>
            <w:tcBorders>
              <w:top w:val="single" w:sz="4" w:space="0" w:color="auto"/>
              <w:bottom w:val="single" w:sz="4" w:space="0" w:color="auto"/>
            </w:tcBorders>
          </w:tcPr>
          <w:p w14:paraId="27EADEBF" w14:textId="77777777" w:rsidR="007B24E4" w:rsidRPr="00A372D1" w:rsidRDefault="007B24E4" w:rsidP="00533032">
            <w:pPr>
              <w:pStyle w:val="TableText"/>
            </w:pPr>
            <w:r w:rsidRPr="00A372D1">
              <w:t>95</w:t>
            </w:r>
          </w:p>
        </w:tc>
        <w:tc>
          <w:tcPr>
            <w:tcW w:w="2734" w:type="pct"/>
            <w:tcBorders>
              <w:top w:val="single" w:sz="4" w:space="0" w:color="auto"/>
              <w:bottom w:val="single" w:sz="4" w:space="0" w:color="auto"/>
            </w:tcBorders>
          </w:tcPr>
          <w:p w14:paraId="78701CAD" w14:textId="77777777" w:rsidR="007B24E4" w:rsidRPr="00A372D1" w:rsidRDefault="007B24E4" w:rsidP="00533032">
            <w:pPr>
              <w:pStyle w:val="TableText"/>
            </w:pPr>
            <w:r w:rsidRPr="00A372D1">
              <w:t>35</w:t>
            </w:r>
          </w:p>
        </w:tc>
      </w:tr>
      <w:tr w:rsidR="007B24E4" w:rsidRPr="00A372D1" w14:paraId="2351964B" w14:textId="77777777" w:rsidTr="0026789B">
        <w:trPr>
          <w:cantSplit/>
          <w:trHeight w:val="284"/>
        </w:trPr>
        <w:tc>
          <w:tcPr>
            <w:tcW w:w="2266" w:type="pct"/>
            <w:tcBorders>
              <w:top w:val="single" w:sz="4" w:space="0" w:color="auto"/>
              <w:bottom w:val="single" w:sz="4" w:space="0" w:color="auto"/>
            </w:tcBorders>
          </w:tcPr>
          <w:p w14:paraId="75D6D321" w14:textId="77777777" w:rsidR="007B24E4" w:rsidRPr="00A372D1" w:rsidRDefault="007B24E4" w:rsidP="00533032">
            <w:pPr>
              <w:pStyle w:val="TableText"/>
            </w:pPr>
            <w:r w:rsidRPr="00A372D1">
              <w:t>90</w:t>
            </w:r>
          </w:p>
        </w:tc>
        <w:tc>
          <w:tcPr>
            <w:tcW w:w="2734" w:type="pct"/>
            <w:tcBorders>
              <w:top w:val="single" w:sz="4" w:space="0" w:color="auto"/>
              <w:bottom w:val="single" w:sz="4" w:space="0" w:color="auto"/>
            </w:tcBorders>
          </w:tcPr>
          <w:p w14:paraId="4D6E80D7" w14:textId="77777777" w:rsidR="007B24E4" w:rsidRPr="00A372D1" w:rsidRDefault="007B24E4" w:rsidP="00533032">
            <w:pPr>
              <w:pStyle w:val="TableText"/>
            </w:pPr>
            <w:r>
              <w:t>46</w:t>
            </w:r>
          </w:p>
        </w:tc>
      </w:tr>
      <w:tr w:rsidR="007B24E4" w:rsidRPr="00A372D1" w14:paraId="228A5117" w14:textId="77777777" w:rsidTr="0026789B">
        <w:trPr>
          <w:cantSplit/>
          <w:trHeight w:val="284"/>
        </w:trPr>
        <w:tc>
          <w:tcPr>
            <w:tcW w:w="2266" w:type="pct"/>
            <w:tcBorders>
              <w:top w:val="single" w:sz="4" w:space="0" w:color="auto"/>
              <w:bottom w:val="single" w:sz="12" w:space="0" w:color="auto"/>
            </w:tcBorders>
          </w:tcPr>
          <w:p w14:paraId="0BFF7B17" w14:textId="77777777" w:rsidR="007B24E4" w:rsidRPr="00A372D1" w:rsidRDefault="007B24E4" w:rsidP="00533032">
            <w:pPr>
              <w:pStyle w:val="TableText"/>
            </w:pPr>
            <w:r w:rsidRPr="00A372D1">
              <w:t>80</w:t>
            </w:r>
          </w:p>
        </w:tc>
        <w:tc>
          <w:tcPr>
            <w:tcW w:w="2734" w:type="pct"/>
            <w:tcBorders>
              <w:top w:val="single" w:sz="4" w:space="0" w:color="auto"/>
              <w:bottom w:val="single" w:sz="12" w:space="0" w:color="auto"/>
            </w:tcBorders>
          </w:tcPr>
          <w:p w14:paraId="6321CB8A" w14:textId="77777777" w:rsidR="007B24E4" w:rsidRPr="00A372D1" w:rsidRDefault="007B24E4" w:rsidP="00533032">
            <w:pPr>
              <w:pStyle w:val="TableText"/>
            </w:pPr>
            <w:r>
              <w:t>65</w:t>
            </w:r>
          </w:p>
        </w:tc>
      </w:tr>
    </w:tbl>
    <w:p w14:paraId="03374F63" w14:textId="743154A9" w:rsidR="007B24E4" w:rsidRDefault="007B24E4" w:rsidP="00533032">
      <w:pPr>
        <w:pStyle w:val="FigureTableNoteSource"/>
        <w:rPr>
          <w:lang w:eastAsia="ja-JP"/>
        </w:rPr>
      </w:pPr>
      <w:r w:rsidRPr="00533032">
        <w:rPr>
          <w:rStyle w:val="Strong"/>
        </w:rPr>
        <w:t>a</w:t>
      </w:r>
      <w:r>
        <w:rPr>
          <w:lang w:eastAsia="ja-JP"/>
        </w:rPr>
        <w:t xml:space="preserve"> Protective concentration</w:t>
      </w:r>
      <w:r w:rsidR="0026789B">
        <w:rPr>
          <w:lang w:eastAsia="ja-JP"/>
        </w:rPr>
        <w:t>s</w:t>
      </w:r>
      <w:r>
        <w:rPr>
          <w:lang w:eastAsia="ja-JP"/>
        </w:rPr>
        <w:t xml:space="preserve"> were derived using Burrlioz 2.0 software and rounded to two significant figures. </w:t>
      </w:r>
    </w:p>
    <w:p w14:paraId="19CA2842" w14:textId="38C9BB82" w:rsidR="006E7258" w:rsidRDefault="007B24E4" w:rsidP="007918CA">
      <w:pPr>
        <w:rPr>
          <w:lang w:eastAsia="ja-JP"/>
        </w:rPr>
      </w:pPr>
      <w:r>
        <w:rPr>
          <w:lang w:eastAsia="ja-JP"/>
        </w:rPr>
        <w:t xml:space="preserve">The resulting SSD and </w:t>
      </w:r>
      <w:r w:rsidR="00C27AC6">
        <w:rPr>
          <w:lang w:eastAsia="ja-JP"/>
        </w:rPr>
        <w:t>p</w:t>
      </w:r>
      <w:r w:rsidR="00C27AC6" w:rsidRPr="00C27AC6">
        <w:rPr>
          <w:lang w:eastAsia="ja-JP"/>
        </w:rPr>
        <w:t>rotective concentration</w:t>
      </w:r>
      <w:r w:rsidR="0026789B">
        <w:rPr>
          <w:lang w:eastAsia="ja-JP"/>
        </w:rPr>
        <w:t>s</w:t>
      </w:r>
      <w:r>
        <w:rPr>
          <w:lang w:eastAsia="ja-JP"/>
        </w:rPr>
        <w:t xml:space="preserve"> had the same limitations as using only chronic negligible effect toxicity data; therefore</w:t>
      </w:r>
      <w:r w:rsidR="00C27AC6">
        <w:rPr>
          <w:lang w:eastAsia="ja-JP"/>
        </w:rPr>
        <w:t>,</w:t>
      </w:r>
      <w:r>
        <w:rPr>
          <w:lang w:eastAsia="ja-JP"/>
        </w:rPr>
        <w:t xml:space="preserve"> a third dataset was tested. This involved the use of all available toxicity data to marine species (i.e. for chronic, chronic </w:t>
      </w:r>
      <w:r w:rsidR="00C27AC6">
        <w:rPr>
          <w:lang w:eastAsia="ja-JP"/>
        </w:rPr>
        <w:t xml:space="preserve">estimated </w:t>
      </w:r>
      <w:r>
        <w:rPr>
          <w:lang w:eastAsia="ja-JP"/>
        </w:rPr>
        <w:t>and converted acute negligible effect toxicity data). The resulting SSD (</w:t>
      </w:r>
      <w:r w:rsidR="00A67E75">
        <w:rPr>
          <w:lang w:eastAsia="ja-JP"/>
        </w:rPr>
        <w:fldChar w:fldCharType="begin"/>
      </w:r>
      <w:r w:rsidR="00A67E75">
        <w:rPr>
          <w:lang w:eastAsia="ja-JP"/>
        </w:rPr>
        <w:instrText xml:space="preserve"> REF _Ref185510093 \h </w:instrText>
      </w:r>
      <w:r w:rsidR="00A67E75">
        <w:rPr>
          <w:lang w:eastAsia="ja-JP"/>
        </w:rPr>
      </w:r>
      <w:r w:rsidR="00A67E75">
        <w:rPr>
          <w:lang w:eastAsia="ja-JP"/>
        </w:rPr>
        <w:fldChar w:fldCharType="separate"/>
      </w:r>
      <w:r w:rsidR="00E74306">
        <w:t>Figure </w:t>
      </w:r>
      <w:r w:rsidR="00E74306">
        <w:rPr>
          <w:noProof/>
        </w:rPr>
        <w:t>2</w:t>
      </w:r>
      <w:r w:rsidR="00A67E75">
        <w:rPr>
          <w:lang w:eastAsia="ja-JP"/>
        </w:rPr>
        <w:fldChar w:fldCharType="end"/>
      </w:r>
      <w:r>
        <w:rPr>
          <w:lang w:eastAsia="ja-JP"/>
        </w:rPr>
        <w:t>) and values provided a better fit to the data and, as such, these values were recommended for adoption as the DGVs</w:t>
      </w:r>
      <w:r w:rsidR="00C27AC6">
        <w:rPr>
          <w:lang w:eastAsia="ja-JP"/>
        </w:rPr>
        <w:t xml:space="preserve"> (</w:t>
      </w:r>
      <w:r w:rsidR="00FF0AE5">
        <w:rPr>
          <w:lang w:eastAsia="ja-JP"/>
        </w:rPr>
        <w:fldChar w:fldCharType="begin"/>
      </w:r>
      <w:r w:rsidR="00FF0AE5">
        <w:rPr>
          <w:lang w:eastAsia="ja-JP"/>
        </w:rPr>
        <w:instrText xml:space="preserve"> REF _Ref185509961 \h </w:instrText>
      </w:r>
      <w:r w:rsidR="00FF0AE5">
        <w:rPr>
          <w:lang w:eastAsia="ja-JP"/>
        </w:rPr>
      </w:r>
      <w:r w:rsidR="00FF0AE5">
        <w:rPr>
          <w:lang w:eastAsia="ja-JP"/>
        </w:rPr>
        <w:fldChar w:fldCharType="separate"/>
      </w:r>
      <w:r w:rsidR="00E74306">
        <w:t>Table </w:t>
      </w:r>
      <w:r w:rsidR="00E74306">
        <w:rPr>
          <w:noProof/>
        </w:rPr>
        <w:t>3</w:t>
      </w:r>
      <w:r w:rsidR="00FF0AE5">
        <w:rPr>
          <w:lang w:eastAsia="ja-JP"/>
        </w:rPr>
        <w:fldChar w:fldCharType="end"/>
      </w:r>
      <w:r w:rsidR="00C27AC6">
        <w:rPr>
          <w:lang w:eastAsia="ja-JP"/>
        </w:rPr>
        <w:t>)</w:t>
      </w:r>
      <w:r>
        <w:rPr>
          <w:lang w:eastAsia="ja-JP"/>
        </w:rPr>
        <w:t>.</w:t>
      </w:r>
      <w:r w:rsidR="00B5679D">
        <w:rPr>
          <w:lang w:eastAsia="ja-JP"/>
        </w:rPr>
        <w:t xml:space="preserve"> </w:t>
      </w:r>
    </w:p>
    <w:p w14:paraId="46187186" w14:textId="582B8CEC" w:rsidR="00512B1D" w:rsidRPr="00FD6C22" w:rsidRDefault="00512B1D" w:rsidP="007918CA">
      <w:pPr>
        <w:rPr>
          <w:highlight w:val="cyan"/>
          <w:lang w:eastAsia="ja-JP"/>
        </w:rPr>
      </w:pPr>
      <w:r w:rsidRPr="00FD6C22">
        <w:rPr>
          <w:highlight w:val="cyan"/>
          <w:lang w:eastAsia="ja-JP"/>
        </w:rPr>
        <w:br w:type="page"/>
      </w:r>
    </w:p>
    <w:p w14:paraId="5CE3283A" w14:textId="4BA846EB" w:rsidR="00606A7B" w:rsidRPr="00CE5758" w:rsidRDefault="00606A7B" w:rsidP="00606A7B">
      <w:pPr>
        <w:pStyle w:val="Heading2"/>
        <w:numPr>
          <w:ilvl w:val="0"/>
          <w:numId w:val="0"/>
        </w:numPr>
        <w:ind w:left="680" w:hanging="680"/>
      </w:pPr>
      <w:bookmarkStart w:id="58" w:name="_Toc189412387"/>
      <w:r w:rsidRPr="00CE5758">
        <w:lastRenderedPageBreak/>
        <w:t>References</w:t>
      </w:r>
      <w:bookmarkEnd w:id="55"/>
      <w:bookmarkEnd w:id="58"/>
    </w:p>
    <w:p w14:paraId="6132F5DE" w14:textId="77777777" w:rsidR="00872E34" w:rsidRDefault="00872E34" w:rsidP="007701CB">
      <w:pPr>
        <w:rPr>
          <w:lang w:eastAsia="ja-JP"/>
        </w:rPr>
      </w:pPr>
      <w:r>
        <w:rPr>
          <w:lang w:eastAsia="ja-JP"/>
        </w:rPr>
        <w:t xml:space="preserve">ACVM (2020) </w:t>
      </w:r>
      <w:hyperlink r:id="rId53" w:history="1">
        <w:r w:rsidRPr="00140442">
          <w:rPr>
            <w:rStyle w:val="Hyperlink"/>
            <w:lang w:eastAsia="ja-JP"/>
          </w:rPr>
          <w:t>Agricultural Compounds and Veterinary Medicines register</w:t>
        </w:r>
      </w:hyperlink>
      <w:r>
        <w:rPr>
          <w:lang w:eastAsia="ja-JP"/>
        </w:rPr>
        <w:t xml:space="preserve"> [website], Ministry for Primary Industries New Zealand, accessed: 10 January 2020.</w:t>
      </w:r>
    </w:p>
    <w:p w14:paraId="7B0F378A" w14:textId="77777777" w:rsidR="00872E34" w:rsidRDefault="00872E34" w:rsidP="007701CB">
      <w:pPr>
        <w:rPr>
          <w:lang w:eastAsia="ja-JP"/>
        </w:rPr>
      </w:pPr>
      <w:r>
        <w:rPr>
          <w:lang w:eastAsia="ja-JP"/>
        </w:rPr>
        <w:t xml:space="preserve">ALA (2017) </w:t>
      </w:r>
      <w:hyperlink r:id="rId54" w:history="1">
        <w:r w:rsidRPr="00140442">
          <w:rPr>
            <w:rStyle w:val="Hyperlink"/>
            <w:lang w:eastAsia="ja-JP"/>
          </w:rPr>
          <w:t>Atlas of Living Australia</w:t>
        </w:r>
      </w:hyperlink>
      <w:r>
        <w:rPr>
          <w:lang w:eastAsia="ja-JP"/>
        </w:rPr>
        <w:t xml:space="preserve"> [website], National Research Infrastructure for Australia and Commonwealth Scientific and Industrial Research Organisation, accessed May 2017.</w:t>
      </w:r>
    </w:p>
    <w:p w14:paraId="11D294F5" w14:textId="77777777" w:rsidR="00872E34" w:rsidRDefault="00872E34" w:rsidP="00597AA3">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56A93D2A" w14:textId="77777777" w:rsidR="00872E34" w:rsidRDefault="00872E34" w:rsidP="007E66AF">
      <w:r>
        <w:t xml:space="preserve">ANZG (2018) </w:t>
      </w:r>
      <w:hyperlink r:id="rId55"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359C5D02" w14:textId="77777777" w:rsidR="00872E34" w:rsidRPr="00EB5C44" w:rsidRDefault="00872E34" w:rsidP="003F7AD3">
      <w:r w:rsidRPr="00EB5C44">
        <w:t xml:space="preserve">APVMA </w:t>
      </w:r>
      <w:r>
        <w:t>(</w:t>
      </w:r>
      <w:r w:rsidRPr="00EB5C44">
        <w:t>20</w:t>
      </w:r>
      <w:r>
        <w:t>20)</w:t>
      </w:r>
      <w:r w:rsidRPr="00EB5C44">
        <w:t xml:space="preserve"> Simazine</w:t>
      </w:r>
      <w:r>
        <w:t>,</w:t>
      </w:r>
      <w:r w:rsidRPr="00EB5C44">
        <w:t xml:space="preserve"> </w:t>
      </w:r>
      <w:hyperlink r:id="rId56" w:history="1">
        <w:r w:rsidRPr="00903334">
          <w:rPr>
            <w:rStyle w:val="Hyperlink"/>
            <w:i/>
            <w:iCs/>
          </w:rPr>
          <w:t xml:space="preserve">Australian Pesticides and Veterinary Medicine Authority </w:t>
        </w:r>
        <w:proofErr w:type="spellStart"/>
        <w:r w:rsidRPr="00903334">
          <w:rPr>
            <w:rStyle w:val="Hyperlink"/>
            <w:i/>
            <w:iCs/>
          </w:rPr>
          <w:t>PubCRIS</w:t>
        </w:r>
        <w:proofErr w:type="spellEnd"/>
        <w:r w:rsidRPr="00903334">
          <w:rPr>
            <w:rStyle w:val="Hyperlink"/>
            <w:i/>
            <w:iCs/>
          </w:rPr>
          <w:t xml:space="preserve"> Database</w:t>
        </w:r>
      </w:hyperlink>
      <w:r>
        <w:t>,</w:t>
      </w:r>
      <w:r w:rsidRPr="00EB5C44">
        <w:t xml:space="preserve"> </w:t>
      </w:r>
      <w:r>
        <w:t>accessed 2024.</w:t>
      </w:r>
    </w:p>
    <w:p w14:paraId="4AA8ED05" w14:textId="77777777" w:rsidR="00872E34" w:rsidRDefault="00872E34" w:rsidP="007701CB">
      <w:pPr>
        <w:rPr>
          <w:lang w:eastAsia="ja-JP"/>
        </w:rPr>
      </w:pPr>
      <w:r>
        <w:t xml:space="preserve">BCPC (2012) </w:t>
      </w:r>
      <w:r w:rsidRPr="00397A1B">
        <w:rPr>
          <w:i/>
          <w:iCs/>
        </w:rPr>
        <w:t>A world compendium: the pesticide manual</w:t>
      </w:r>
      <w:r>
        <w:t>, 16</w:t>
      </w:r>
      <w:r w:rsidRPr="002F74E1">
        <w:t>th</w:t>
      </w:r>
      <w:r>
        <w:t xml:space="preserve"> </w:t>
      </w:r>
      <w:proofErr w:type="spellStart"/>
      <w:r>
        <w:t>edn</w:t>
      </w:r>
      <w:proofErr w:type="spellEnd"/>
      <w:r>
        <w:t>, MacBean C (ed), British Crop Production Council, United Kingdom.</w:t>
      </w:r>
    </w:p>
    <w:p w14:paraId="4D99A3BF" w14:textId="77777777" w:rsidR="00872E34" w:rsidRDefault="00872E34" w:rsidP="007701CB">
      <w:pPr>
        <w:rPr>
          <w:lang w:eastAsia="ja-JP"/>
        </w:rPr>
      </w:pPr>
      <w:r>
        <w:rPr>
          <w:lang w:eastAsia="ja-JP"/>
        </w:rPr>
        <w:t xml:space="preserve">Bergman Å, Heindel JJ, Jobling S, Kidd KA and Zoeller RT (eds) (2013) </w:t>
      </w:r>
      <w:r w:rsidRPr="00A16A35">
        <w:rPr>
          <w:i/>
          <w:iCs/>
          <w:lang w:eastAsia="ja-JP"/>
        </w:rPr>
        <w:t>State of the science of endocrine disrupting chemicals</w:t>
      </w:r>
      <w:r>
        <w:rPr>
          <w:i/>
          <w:iCs/>
          <w:lang w:eastAsia="ja-JP"/>
        </w:rPr>
        <w:t xml:space="preserve"> – 2012</w:t>
      </w:r>
      <w:r>
        <w:rPr>
          <w:lang w:eastAsia="ja-JP"/>
        </w:rPr>
        <w:t>, United Nations Environment Programme and the World Health Organization.</w:t>
      </w:r>
    </w:p>
    <w:p w14:paraId="1A2BA271" w14:textId="77777777" w:rsidR="00872E34" w:rsidRDefault="00872E34" w:rsidP="007701CB">
      <w:pPr>
        <w:rPr>
          <w:lang w:eastAsia="ja-JP"/>
        </w:rPr>
      </w:pPr>
      <w:r>
        <w:rPr>
          <w:lang w:eastAsia="ja-JP"/>
        </w:rPr>
        <w:t xml:space="preserve">CCME (1999) </w:t>
      </w:r>
      <w:hyperlink r:id="rId57" w:history="1">
        <w:r w:rsidRPr="00D52AFC">
          <w:rPr>
            <w:rStyle w:val="Hyperlink"/>
            <w:lang w:eastAsia="ja-JP"/>
          </w:rPr>
          <w:t>Canadian water quality guidelines for the protection of aquatic life – Simazine</w:t>
        </w:r>
      </w:hyperlink>
      <w:r>
        <w:rPr>
          <w:lang w:eastAsia="ja-JP"/>
        </w:rPr>
        <w:t xml:space="preserve"> [pdf],. Canadian Council of Ministers of the Environment, accessed 24 June 2015. </w:t>
      </w:r>
    </w:p>
    <w:p w14:paraId="17038A8A" w14:textId="77777777" w:rsidR="00872E34" w:rsidRDefault="00872E34" w:rsidP="009D3FFD">
      <w:r>
        <w:t xml:space="preserve">Chen S, Yin C, Strasser RJ, </w:t>
      </w:r>
      <w:proofErr w:type="spellStart"/>
      <w:r>
        <w:t>Govinjee</w:t>
      </w:r>
      <w:proofErr w:type="spellEnd"/>
      <w:r>
        <w:t xml:space="preserve">, Yang C and Qiang S (2012) ‘Reactive oxygen species from chloroplasts contribute to 3-acetyl-5-isopropyltetramic acid-induced leaf necrosis of </w:t>
      </w:r>
      <w:r>
        <w:rPr>
          <w:i/>
        </w:rPr>
        <w:t>Arabidopsis thaliana</w:t>
      </w:r>
      <w:r>
        <w:t xml:space="preserve">’, </w:t>
      </w:r>
      <w:r>
        <w:rPr>
          <w:i/>
        </w:rPr>
        <w:t>Plant Physiology and Biochemistry</w:t>
      </w:r>
      <w:r>
        <w:t xml:space="preserve">, 52:38–51. </w:t>
      </w:r>
    </w:p>
    <w:p w14:paraId="7DE6A087" w14:textId="77777777" w:rsidR="00872E34" w:rsidRDefault="00872E34" w:rsidP="007701CB">
      <w:pPr>
        <w:rPr>
          <w:lang w:eastAsia="ja-JP"/>
        </w:rPr>
      </w:pPr>
      <w:r>
        <w:rPr>
          <w:lang w:eastAsia="ja-JP"/>
        </w:rPr>
        <w:t xml:space="preserve">Depledge MH and Billinghurst Z (1999) ‘Ecological significance of endocrine disruption in marine invertebrates’, </w:t>
      </w:r>
      <w:r w:rsidRPr="0036198F">
        <w:rPr>
          <w:i/>
          <w:iCs/>
          <w:lang w:eastAsia="ja-JP"/>
        </w:rPr>
        <w:t>Marine Pollution Bulletin</w:t>
      </w:r>
      <w:r>
        <w:rPr>
          <w:lang w:eastAsia="ja-JP"/>
        </w:rPr>
        <w:t>, 39:1–12.</w:t>
      </w:r>
    </w:p>
    <w:p w14:paraId="13A9576D" w14:textId="77777777" w:rsidR="00872E34" w:rsidRDefault="00872E34" w:rsidP="007701CB">
      <w:pPr>
        <w:rPr>
          <w:lang w:eastAsia="ja-JP"/>
        </w:rPr>
      </w:pPr>
      <w:r>
        <w:rPr>
          <w:lang w:eastAsia="ja-JP"/>
        </w:rPr>
        <w:t xml:space="preserve">Duke NC, Bell AM, Pederson DK, </w:t>
      </w:r>
      <w:proofErr w:type="spellStart"/>
      <w:r>
        <w:rPr>
          <w:lang w:eastAsia="ja-JP"/>
        </w:rPr>
        <w:t>Roelfsema</w:t>
      </w:r>
      <w:proofErr w:type="spellEnd"/>
      <w:r>
        <w:rPr>
          <w:lang w:eastAsia="ja-JP"/>
        </w:rPr>
        <w:t xml:space="preserve"> CM and Nash SB (2005) ‘Herbicides implicated as the cause of severe mangrove dieback in the Mackay region, NE Australia: consequences for marine plant habitats of the GBR World Heritage Area’, </w:t>
      </w:r>
      <w:r w:rsidRPr="0010499E">
        <w:rPr>
          <w:i/>
          <w:iCs/>
          <w:lang w:eastAsia="ja-JP"/>
        </w:rPr>
        <w:t>Marine Pollution Bulletin</w:t>
      </w:r>
      <w:r>
        <w:rPr>
          <w:lang w:eastAsia="ja-JP"/>
        </w:rPr>
        <w:t>, 51(1):308–324.</w:t>
      </w:r>
    </w:p>
    <w:p w14:paraId="628BB827" w14:textId="77777777" w:rsidR="00872E34" w:rsidRDefault="00872E34" w:rsidP="007701CB">
      <w:pPr>
        <w:rPr>
          <w:lang w:eastAsia="ja-JP"/>
        </w:rPr>
      </w:pPr>
      <w:r>
        <w:rPr>
          <w:lang w:eastAsia="ja-JP"/>
        </w:rPr>
        <w:t xml:space="preserve">EU Commission Regulation (2010) </w:t>
      </w:r>
      <w:hyperlink r:id="rId58" w:history="1">
        <w:r w:rsidRPr="00C95320">
          <w:rPr>
            <w:rStyle w:val="Hyperlink"/>
            <w:i/>
            <w:iCs/>
            <w:lang w:eastAsia="ja-JP"/>
          </w:rPr>
          <w:t>Commission Regulation (EU) No 196/2010 of 9 March 2010 amending Annex I to Regulation (EC) No 689/2008 of the European Parliament and of the Council concerning the export and import of dangerous chemicals</w:t>
        </w:r>
      </w:hyperlink>
      <w:r>
        <w:rPr>
          <w:lang w:eastAsia="ja-JP"/>
        </w:rPr>
        <w:t>,</w:t>
      </w:r>
      <w:r w:rsidRPr="00C95320">
        <w:t xml:space="preserve"> </w:t>
      </w:r>
      <w:r w:rsidRPr="00C95320">
        <w:rPr>
          <w:lang w:eastAsia="ja-JP"/>
        </w:rPr>
        <w:t>Official Journal of the European Union</w:t>
      </w:r>
      <w:r>
        <w:rPr>
          <w:lang w:eastAsia="ja-JP"/>
        </w:rPr>
        <w:t>, accessed 24 June 2015.</w:t>
      </w:r>
    </w:p>
    <w:p w14:paraId="25249BEB" w14:textId="77777777" w:rsidR="00872E34" w:rsidRDefault="00872E34" w:rsidP="007701CB">
      <w:pPr>
        <w:rPr>
          <w:lang w:eastAsia="ja-JP"/>
        </w:rPr>
      </w:pPr>
      <w:r>
        <w:rPr>
          <w:lang w:eastAsia="ja-JP"/>
        </w:rPr>
        <w:t xml:space="preserve">Guiry MD and Guiry GM (2017) </w:t>
      </w:r>
      <w:hyperlink r:id="rId59" w:history="1">
        <w:proofErr w:type="spellStart"/>
        <w:r w:rsidRPr="00673EB4">
          <w:rPr>
            <w:rStyle w:val="Hyperlink"/>
            <w:lang w:eastAsia="ja-JP"/>
          </w:rPr>
          <w:t>AlgaeBase</w:t>
        </w:r>
        <w:proofErr w:type="spellEnd"/>
      </w:hyperlink>
      <w:r>
        <w:rPr>
          <w:lang w:eastAsia="ja-JP"/>
        </w:rPr>
        <w:t xml:space="preserve"> [online database], University of Galway, accessed May 2017. </w:t>
      </w:r>
    </w:p>
    <w:p w14:paraId="087E417E" w14:textId="77777777" w:rsidR="00872E34" w:rsidRDefault="00872E34" w:rsidP="00673EB4">
      <w:r>
        <w:t xml:space="preserve">Halliwell B (1991) ‘Oxygen radicals: their formation in plant tissues and their role in herbicide damage’, in Baker NR and Percival MP (eds), </w:t>
      </w:r>
      <w:r w:rsidRPr="004B364A">
        <w:rPr>
          <w:i/>
          <w:iCs/>
        </w:rPr>
        <w:t>Herbicides</w:t>
      </w:r>
      <w:r>
        <w:t>, Elsevier Science, Amsterdam.</w:t>
      </w:r>
    </w:p>
    <w:p w14:paraId="6EA33E4F" w14:textId="77777777" w:rsidR="00872E34" w:rsidRDefault="00872E34" w:rsidP="007701CB">
      <w:pPr>
        <w:rPr>
          <w:lang w:eastAsia="ja-JP"/>
        </w:rPr>
      </w:pPr>
      <w:r>
        <w:rPr>
          <w:lang w:eastAsia="ja-JP"/>
        </w:rPr>
        <w:lastRenderedPageBreak/>
        <w:t xml:space="preserve">Hook SE, Osborn HL, </w:t>
      </w:r>
      <w:proofErr w:type="spellStart"/>
      <w:r>
        <w:rPr>
          <w:lang w:eastAsia="ja-JP"/>
        </w:rPr>
        <w:t>Gissi</w:t>
      </w:r>
      <w:proofErr w:type="spellEnd"/>
      <w:r>
        <w:rPr>
          <w:lang w:eastAsia="ja-JP"/>
        </w:rPr>
        <w:t xml:space="preserve"> F, </w:t>
      </w:r>
      <w:proofErr w:type="spellStart"/>
      <w:r>
        <w:rPr>
          <w:lang w:eastAsia="ja-JP"/>
        </w:rPr>
        <w:t>Moncuquet</w:t>
      </w:r>
      <w:proofErr w:type="spellEnd"/>
      <w:r>
        <w:rPr>
          <w:lang w:eastAsia="ja-JP"/>
        </w:rPr>
        <w:t xml:space="preserve"> P, Twine NA, Wilkins MR and Adams MS (2014) ‘RNA-seq analysis of the toxicant-induced transcriptome of the marine diatom, </w:t>
      </w:r>
      <w:proofErr w:type="spellStart"/>
      <w:r w:rsidRPr="00673EB4">
        <w:rPr>
          <w:i/>
          <w:iCs/>
          <w:lang w:eastAsia="ja-JP"/>
        </w:rPr>
        <w:t>Ceratoneis</w:t>
      </w:r>
      <w:proofErr w:type="spellEnd"/>
      <w:r w:rsidRPr="00673EB4">
        <w:rPr>
          <w:i/>
          <w:iCs/>
          <w:lang w:eastAsia="ja-JP"/>
        </w:rPr>
        <w:t xml:space="preserve"> </w:t>
      </w:r>
      <w:proofErr w:type="spellStart"/>
      <w:r w:rsidRPr="00673EB4">
        <w:rPr>
          <w:i/>
          <w:iCs/>
          <w:lang w:eastAsia="ja-JP"/>
        </w:rPr>
        <w:t>closterium</w:t>
      </w:r>
      <w:proofErr w:type="spellEnd"/>
      <w:r>
        <w:rPr>
          <w:lang w:eastAsia="ja-JP"/>
        </w:rPr>
        <w:t xml:space="preserve">’, </w:t>
      </w:r>
      <w:r w:rsidRPr="00673EB4">
        <w:rPr>
          <w:i/>
          <w:iCs/>
          <w:lang w:eastAsia="ja-JP"/>
        </w:rPr>
        <w:t>Marine Genomics</w:t>
      </w:r>
      <w:r>
        <w:rPr>
          <w:lang w:eastAsia="ja-JP"/>
        </w:rPr>
        <w:t>, 9(16):45–53.</w:t>
      </w:r>
    </w:p>
    <w:p w14:paraId="079A5E1B" w14:textId="77777777" w:rsidR="00872E34" w:rsidRDefault="00872E34" w:rsidP="00800231">
      <w:r>
        <w:t xml:space="preserve">ITIS (2017) </w:t>
      </w:r>
      <w:hyperlink r:id="rId60" w:history="1">
        <w:r w:rsidRPr="00C54D95">
          <w:rPr>
            <w:rStyle w:val="Hyperlink"/>
          </w:rPr>
          <w:t>Integrated Taxonomic Information System</w:t>
        </w:r>
      </w:hyperlink>
      <w:r>
        <w:t xml:space="preserve"> [online database],</w:t>
      </w:r>
      <w:r w:rsidRPr="00800231">
        <w:rPr>
          <w:lang w:eastAsia="ja-JP"/>
        </w:rPr>
        <w:t xml:space="preserve"> </w:t>
      </w:r>
      <w:r>
        <w:rPr>
          <w:lang w:eastAsia="ja-JP"/>
        </w:rPr>
        <w:t>accessed: May 2017.</w:t>
      </w:r>
    </w:p>
    <w:p w14:paraId="4818D998" w14:textId="77777777" w:rsidR="00872E34" w:rsidRDefault="00872E34" w:rsidP="007701CB">
      <w:pPr>
        <w:rPr>
          <w:lang w:eastAsia="ja-JP"/>
        </w:rPr>
      </w:pPr>
      <w:r>
        <w:rPr>
          <w:lang w:eastAsia="ja-JP"/>
        </w:rPr>
        <w:t xml:space="preserve">Kessler E and Huss VAR (1992) ‘Comparative physiology and biochemistry and taxonomic assignment of the </w:t>
      </w:r>
      <w:r w:rsidRPr="00800231">
        <w:rPr>
          <w:lang w:eastAsia="ja-JP"/>
        </w:rPr>
        <w:t>Chlorella</w:t>
      </w:r>
      <w:r>
        <w:rPr>
          <w:lang w:eastAsia="ja-JP"/>
        </w:rPr>
        <w:t xml:space="preserve"> (Chlorophyceae) strains of the culture collection of the University of Texas at Austin’, </w:t>
      </w:r>
      <w:r w:rsidRPr="00800231">
        <w:rPr>
          <w:i/>
          <w:iCs/>
          <w:lang w:eastAsia="ja-JP"/>
        </w:rPr>
        <w:t>Journal of Phycology</w:t>
      </w:r>
      <w:r>
        <w:rPr>
          <w:lang w:eastAsia="ja-JP"/>
        </w:rPr>
        <w:t>, 28:550–553.</w:t>
      </w:r>
    </w:p>
    <w:p w14:paraId="7C60875D" w14:textId="77777777" w:rsidR="00872E34" w:rsidRDefault="00872E34" w:rsidP="007701CB">
      <w:pPr>
        <w:rPr>
          <w:lang w:eastAsia="ja-JP"/>
        </w:rPr>
      </w:pPr>
      <w:r>
        <w:rPr>
          <w:lang w:eastAsia="ja-JP"/>
        </w:rPr>
        <w:t xml:space="preserve">Knauer K, </w:t>
      </w:r>
      <w:proofErr w:type="spellStart"/>
      <w:r>
        <w:rPr>
          <w:lang w:eastAsia="ja-JP"/>
        </w:rPr>
        <w:t>Homazava</w:t>
      </w:r>
      <w:proofErr w:type="spellEnd"/>
      <w:r>
        <w:rPr>
          <w:lang w:eastAsia="ja-JP"/>
        </w:rPr>
        <w:t xml:space="preserve"> N, Junghans M and Werner I (2016) ‘The influence of particles on bioavailability and toxicity of pesticides in surface waters’, </w:t>
      </w:r>
      <w:r w:rsidRPr="00800231">
        <w:rPr>
          <w:i/>
          <w:iCs/>
          <w:lang w:eastAsia="ja-JP"/>
        </w:rPr>
        <w:t>Integrated Environmental Assessment and Management</w:t>
      </w:r>
      <w:r>
        <w:rPr>
          <w:lang w:eastAsia="ja-JP"/>
        </w:rPr>
        <w:t xml:space="preserve">, 13:585–600. </w:t>
      </w:r>
    </w:p>
    <w:p w14:paraId="1E35F140" w14:textId="77777777" w:rsidR="00872E34" w:rsidRDefault="00872E34" w:rsidP="007701CB">
      <w:pPr>
        <w:rPr>
          <w:lang w:eastAsia="ja-JP"/>
        </w:rPr>
      </w:pPr>
      <w:r>
        <w:rPr>
          <w:lang w:eastAsia="ja-JP"/>
        </w:rPr>
        <w:t xml:space="preserve">Mai C, Theobald N, Lammel G and </w:t>
      </w:r>
      <w:proofErr w:type="spellStart"/>
      <w:r>
        <w:rPr>
          <w:lang w:eastAsia="ja-JP"/>
        </w:rPr>
        <w:t>Hühnerfuss</w:t>
      </w:r>
      <w:proofErr w:type="spellEnd"/>
      <w:r>
        <w:rPr>
          <w:lang w:eastAsia="ja-JP"/>
        </w:rPr>
        <w:t xml:space="preserve"> H (2013) Spatial, seasonal and vertical distributions of currently-used pesticides in the marine boundary layer of the North Sea’, </w:t>
      </w:r>
      <w:r w:rsidRPr="00583C6E">
        <w:rPr>
          <w:i/>
          <w:iCs/>
          <w:lang w:eastAsia="ja-JP"/>
        </w:rPr>
        <w:t>Atmospheric Environment</w:t>
      </w:r>
      <w:r>
        <w:rPr>
          <w:lang w:eastAsia="ja-JP"/>
        </w:rPr>
        <w:t>, 75:92–102.</w:t>
      </w:r>
    </w:p>
    <w:p w14:paraId="1674DE79" w14:textId="77777777" w:rsidR="00872E34" w:rsidRDefault="00872E34" w:rsidP="007701CB">
      <w:pPr>
        <w:rPr>
          <w:lang w:eastAsia="ja-JP"/>
        </w:rPr>
      </w:pPr>
      <w:r>
        <w:rPr>
          <w:lang w:eastAsia="ja-JP"/>
        </w:rPr>
        <w:t xml:space="preserve">McMahon K, Nash SB, Eaglesham G, Müller JF, Duke NC and </w:t>
      </w:r>
      <w:proofErr w:type="spellStart"/>
      <w:r>
        <w:rPr>
          <w:lang w:eastAsia="ja-JP"/>
        </w:rPr>
        <w:t>Winderlich</w:t>
      </w:r>
      <w:proofErr w:type="spellEnd"/>
      <w:r>
        <w:rPr>
          <w:lang w:eastAsia="ja-JP"/>
        </w:rPr>
        <w:t xml:space="preserve"> S (2005) ‘Herbicide contamination and the potential impact to seagrass meadows in Hervey Bay, Queensland, Australia’, </w:t>
      </w:r>
      <w:r w:rsidRPr="00526562">
        <w:rPr>
          <w:i/>
          <w:iCs/>
          <w:lang w:eastAsia="ja-JP"/>
        </w:rPr>
        <w:t>Marine Pollution Bulletin</w:t>
      </w:r>
      <w:r>
        <w:rPr>
          <w:lang w:eastAsia="ja-JP"/>
        </w:rPr>
        <w:t>, 51(1):325–334.</w:t>
      </w:r>
    </w:p>
    <w:p w14:paraId="1C87809B" w14:textId="77777777" w:rsidR="00872E34" w:rsidRDefault="00872E34" w:rsidP="007701CB">
      <w:pPr>
        <w:rPr>
          <w:lang w:eastAsia="ja-JP"/>
        </w:rPr>
      </w:pPr>
      <w:proofErr w:type="spellStart"/>
      <w:r>
        <w:rPr>
          <w:lang w:eastAsia="ja-JP"/>
        </w:rPr>
        <w:t>Mnif</w:t>
      </w:r>
      <w:proofErr w:type="spellEnd"/>
      <w:r>
        <w:rPr>
          <w:lang w:eastAsia="ja-JP"/>
        </w:rPr>
        <w:t xml:space="preserve"> W, Hassine AIH, Bouaziz A, </w:t>
      </w:r>
      <w:proofErr w:type="spellStart"/>
      <w:r>
        <w:rPr>
          <w:lang w:eastAsia="ja-JP"/>
        </w:rPr>
        <w:t>Bartegi</w:t>
      </w:r>
      <w:proofErr w:type="spellEnd"/>
      <w:r>
        <w:rPr>
          <w:lang w:eastAsia="ja-JP"/>
        </w:rPr>
        <w:t xml:space="preserve"> A, Thomas O and Roig B (2011) ‘Effect of endocrine disruptor pesticides: a review’, </w:t>
      </w:r>
      <w:r w:rsidRPr="00E87965">
        <w:rPr>
          <w:i/>
          <w:iCs/>
          <w:lang w:eastAsia="ja-JP"/>
        </w:rPr>
        <w:t>International Journal of Environmental Research and Public Health</w:t>
      </w:r>
      <w:r>
        <w:rPr>
          <w:lang w:eastAsia="ja-JP"/>
        </w:rPr>
        <w:t>, 8:2265–2303.</w:t>
      </w:r>
    </w:p>
    <w:p w14:paraId="155D7A13" w14:textId="77777777" w:rsidR="00872E34" w:rsidRDefault="00872E34" w:rsidP="007701CB">
      <w:pPr>
        <w:rPr>
          <w:lang w:eastAsia="ja-JP"/>
        </w:rPr>
      </w:pPr>
      <w:r>
        <w:rPr>
          <w:lang w:eastAsia="ja-JP"/>
        </w:rPr>
        <w:t>Moore A and Lower N (2001) ‘The impact of two pesticides on olfactory-mediated endocrine function in mature male Atlantic salmon (</w:t>
      </w:r>
      <w:r w:rsidRPr="00093238">
        <w:rPr>
          <w:i/>
          <w:iCs/>
          <w:lang w:eastAsia="ja-JP"/>
        </w:rPr>
        <w:t xml:space="preserve">Salmo </w:t>
      </w:r>
      <w:proofErr w:type="spellStart"/>
      <w:r w:rsidRPr="00093238">
        <w:rPr>
          <w:i/>
          <w:iCs/>
          <w:lang w:eastAsia="ja-JP"/>
        </w:rPr>
        <w:t>salar</w:t>
      </w:r>
      <w:proofErr w:type="spellEnd"/>
      <w:r>
        <w:rPr>
          <w:lang w:eastAsia="ja-JP"/>
        </w:rPr>
        <w:t xml:space="preserve"> L.) parr’, </w:t>
      </w:r>
      <w:r w:rsidRPr="000B2C6B">
        <w:rPr>
          <w:i/>
          <w:iCs/>
          <w:lang w:eastAsia="ja-JP"/>
        </w:rPr>
        <w:t>Comparative Biochemistry and Physiology Part</w:t>
      </w:r>
      <w:r>
        <w:rPr>
          <w:i/>
          <w:iCs/>
          <w:lang w:eastAsia="ja-JP"/>
        </w:rPr>
        <w:t> </w:t>
      </w:r>
      <w:r w:rsidRPr="000B2C6B">
        <w:rPr>
          <w:i/>
          <w:iCs/>
          <w:lang w:eastAsia="ja-JP"/>
        </w:rPr>
        <w:t>B: Biochemistry and Molecular Biology</w:t>
      </w:r>
      <w:r>
        <w:rPr>
          <w:lang w:eastAsia="ja-JP"/>
        </w:rPr>
        <w:t xml:space="preserve">, 129:269–276. </w:t>
      </w:r>
    </w:p>
    <w:p w14:paraId="3E20F47B" w14:textId="77777777" w:rsidR="00872E34" w:rsidRDefault="00872E34" w:rsidP="007701CB">
      <w:pPr>
        <w:rPr>
          <w:lang w:eastAsia="ja-JP"/>
        </w:rPr>
      </w:pPr>
      <w:r w:rsidRPr="00123197">
        <w:rPr>
          <w:lang w:eastAsia="ja-JP"/>
        </w:rPr>
        <w:t>Navarro S, Vela N, Giménez MJ, Navarro G</w:t>
      </w:r>
      <w:r>
        <w:rPr>
          <w:lang w:eastAsia="ja-JP"/>
        </w:rPr>
        <w:t xml:space="preserve"> (2004)</w:t>
      </w:r>
      <w:r w:rsidRPr="00123197">
        <w:rPr>
          <w:lang w:eastAsia="ja-JP"/>
        </w:rPr>
        <w:t xml:space="preserve"> </w:t>
      </w:r>
      <w:r>
        <w:rPr>
          <w:lang w:eastAsia="ja-JP"/>
        </w:rPr>
        <w:t>‘</w:t>
      </w:r>
      <w:r w:rsidRPr="00123197">
        <w:rPr>
          <w:lang w:eastAsia="ja-JP"/>
        </w:rPr>
        <w:t>Effect of temperature on the disappearance of four triazine herbicides in environmental waters</w:t>
      </w:r>
      <w:r>
        <w:rPr>
          <w:lang w:eastAsia="ja-JP"/>
        </w:rPr>
        <w:t>’,</w:t>
      </w:r>
      <w:r w:rsidRPr="00123197">
        <w:rPr>
          <w:lang w:eastAsia="ja-JP"/>
        </w:rPr>
        <w:t xml:space="preserve"> </w:t>
      </w:r>
      <w:r w:rsidRPr="006D4D6B">
        <w:rPr>
          <w:i/>
          <w:iCs/>
          <w:lang w:eastAsia="ja-JP"/>
        </w:rPr>
        <w:t>Chemosphere</w:t>
      </w:r>
      <w:r>
        <w:rPr>
          <w:lang w:eastAsia="ja-JP"/>
        </w:rPr>
        <w:t>,</w:t>
      </w:r>
      <w:r w:rsidRPr="00123197">
        <w:rPr>
          <w:lang w:eastAsia="ja-JP"/>
        </w:rPr>
        <w:t xml:space="preserve"> 57(1):51–9. </w:t>
      </w:r>
      <w:proofErr w:type="spellStart"/>
      <w:r w:rsidRPr="00123197">
        <w:rPr>
          <w:lang w:eastAsia="ja-JP"/>
        </w:rPr>
        <w:t>doi</w:t>
      </w:r>
      <w:proofErr w:type="spellEnd"/>
      <w:r w:rsidRPr="00123197">
        <w:rPr>
          <w:lang w:eastAsia="ja-JP"/>
        </w:rPr>
        <w:t>: 10.1016/j.chemosphere.2004.05.016 PMID:15288199</w:t>
      </w:r>
    </w:p>
    <w:p w14:paraId="114FFAC3" w14:textId="77777777" w:rsidR="00872E34" w:rsidRDefault="00872E34" w:rsidP="007701CB">
      <w:pPr>
        <w:rPr>
          <w:lang w:eastAsia="ja-JP"/>
        </w:rPr>
      </w:pPr>
      <w:r>
        <w:rPr>
          <w:lang w:eastAsia="ja-JP"/>
        </w:rPr>
        <w:t xml:space="preserve">Negri AP, Templeman S, Flores F, van Dam J, Thomas M, McKenzie M, Stapp L, </w:t>
      </w:r>
      <w:proofErr w:type="spellStart"/>
      <w:r>
        <w:rPr>
          <w:lang w:eastAsia="ja-JP"/>
        </w:rPr>
        <w:t>Kaserzon</w:t>
      </w:r>
      <w:proofErr w:type="spellEnd"/>
      <w:r>
        <w:rPr>
          <w:lang w:eastAsia="ja-JP"/>
        </w:rPr>
        <w:t xml:space="preserve"> S, Mann RM, Smith R, Warne </w:t>
      </w:r>
      <w:proofErr w:type="spellStart"/>
      <w:r>
        <w:rPr>
          <w:lang w:eastAsia="ja-JP"/>
        </w:rPr>
        <w:t>MStJ</w:t>
      </w:r>
      <w:proofErr w:type="spellEnd"/>
      <w:r>
        <w:rPr>
          <w:lang w:eastAsia="ja-JP"/>
        </w:rPr>
        <w:t xml:space="preserve"> and Mueller J (2020) </w:t>
      </w:r>
      <w:r w:rsidRPr="00AE6D6F">
        <w:rPr>
          <w:i/>
          <w:iCs/>
          <w:lang w:eastAsia="ja-JP"/>
        </w:rPr>
        <w:t>Ecotoxicology of pesticides on the Great Barrier Reef for guideline development and risk assessments</w:t>
      </w:r>
      <w:r>
        <w:rPr>
          <w:lang w:eastAsia="ja-JP"/>
        </w:rPr>
        <w:t>, final report to the National Environmental Science Program, Reef and Rainforest Research Centre Limited.</w:t>
      </w:r>
    </w:p>
    <w:p w14:paraId="4453C9C8" w14:textId="77777777" w:rsidR="00872E34" w:rsidRDefault="00872E34" w:rsidP="007701CB">
      <w:pPr>
        <w:rPr>
          <w:lang w:eastAsia="ja-JP"/>
        </w:rPr>
      </w:pPr>
      <w:r>
        <w:rPr>
          <w:lang w:eastAsia="ja-JP"/>
        </w:rPr>
        <w:t xml:space="preserve">Osborn HL and Hook SE (2013) ‘Using transcriptomic profiles in the diatom </w:t>
      </w:r>
      <w:proofErr w:type="spellStart"/>
      <w:r w:rsidRPr="009B65A1">
        <w:rPr>
          <w:i/>
          <w:iCs/>
          <w:lang w:eastAsia="ja-JP"/>
        </w:rPr>
        <w:t>Phaeodactylum</w:t>
      </w:r>
      <w:proofErr w:type="spellEnd"/>
      <w:r w:rsidRPr="009B65A1">
        <w:rPr>
          <w:i/>
          <w:iCs/>
          <w:lang w:eastAsia="ja-JP"/>
        </w:rPr>
        <w:t xml:space="preserve"> </w:t>
      </w:r>
      <w:proofErr w:type="spellStart"/>
      <w:r w:rsidRPr="009B65A1">
        <w:rPr>
          <w:i/>
          <w:iCs/>
          <w:lang w:eastAsia="ja-JP"/>
        </w:rPr>
        <w:t>tricornutum</w:t>
      </w:r>
      <w:proofErr w:type="spellEnd"/>
      <w:r>
        <w:rPr>
          <w:lang w:eastAsia="ja-JP"/>
        </w:rPr>
        <w:t xml:space="preserve"> to identify and prioritize stressors’, </w:t>
      </w:r>
      <w:r w:rsidRPr="009B65A1">
        <w:rPr>
          <w:i/>
          <w:iCs/>
          <w:lang w:eastAsia="ja-JP"/>
        </w:rPr>
        <w:t>Aquatic Toxicology</w:t>
      </w:r>
      <w:r>
        <w:rPr>
          <w:lang w:eastAsia="ja-JP"/>
        </w:rPr>
        <w:t>, 138/139:12–25.</w:t>
      </w:r>
    </w:p>
    <w:p w14:paraId="5D70C74F" w14:textId="77777777" w:rsidR="00872E34" w:rsidRDefault="00872E34" w:rsidP="00C42AE1">
      <w:r>
        <w:t xml:space="preserve">Roskov Y, Abucay L, Orrell T, Nicolson D, Bailly N, Kirk PM, Bourgoin T, DeWalt RE, </w:t>
      </w:r>
      <w:proofErr w:type="spellStart"/>
      <w:r>
        <w:t>Decock</w:t>
      </w:r>
      <w:proofErr w:type="spellEnd"/>
      <w:r>
        <w:t xml:space="preserve"> W, De Wever A, </w:t>
      </w:r>
      <w:proofErr w:type="spellStart"/>
      <w:r>
        <w:t>Nieukerken</w:t>
      </w:r>
      <w:proofErr w:type="spellEnd"/>
      <w:r>
        <w:t xml:space="preserve"> E, </w:t>
      </w:r>
      <w:proofErr w:type="spellStart"/>
      <w:r>
        <w:t>Zarucchi</w:t>
      </w:r>
      <w:proofErr w:type="spellEnd"/>
      <w:r>
        <w:t xml:space="preserve"> J and Penev L (eds) (2017) </w:t>
      </w:r>
      <w:hyperlink r:id="rId61" w:history="1">
        <w:r w:rsidRPr="006D4D6B">
          <w:rPr>
            <w:rStyle w:val="Hyperlink"/>
            <w:i/>
            <w:iCs/>
          </w:rPr>
          <w:t>Species 2000 &amp; ITIS catalogue of life</w:t>
        </w:r>
      </w:hyperlink>
      <w:r>
        <w:t xml:space="preserve">, Species 2000, Naturalis, Netherlands, accessed </w:t>
      </w:r>
      <w:r>
        <w:rPr>
          <w:lang w:eastAsia="ja-JP"/>
        </w:rPr>
        <w:t xml:space="preserve">30 April 2017. </w:t>
      </w:r>
    </w:p>
    <w:p w14:paraId="4A9B10BE" w14:textId="77777777" w:rsidR="00872E34" w:rsidRDefault="00872E34" w:rsidP="007701CB">
      <w:pPr>
        <w:rPr>
          <w:lang w:eastAsia="ja-JP"/>
        </w:rPr>
      </w:pPr>
      <w:r>
        <w:rPr>
          <w:lang w:eastAsia="ja-JP"/>
        </w:rPr>
        <w:t xml:space="preserve">Shaw M and Müller JF (2005) ‘Preliminary evaluation of the occurrence of herbicides and PAHs in the Wet Tropics region of the Great Barrier Reef, Australia, using passive samplers’, </w:t>
      </w:r>
      <w:r w:rsidRPr="00E2730E">
        <w:rPr>
          <w:i/>
          <w:iCs/>
          <w:lang w:eastAsia="ja-JP"/>
        </w:rPr>
        <w:t>Marine Pollution Bulletin</w:t>
      </w:r>
      <w:r>
        <w:rPr>
          <w:lang w:eastAsia="ja-JP"/>
        </w:rPr>
        <w:t>, 51(8):876–881.</w:t>
      </w:r>
    </w:p>
    <w:p w14:paraId="39DE2A35" w14:textId="77777777" w:rsidR="00872E34" w:rsidRDefault="00872E34" w:rsidP="007701CB">
      <w:pPr>
        <w:rPr>
          <w:lang w:eastAsia="ja-JP"/>
        </w:rPr>
      </w:pPr>
      <w:r>
        <w:rPr>
          <w:lang w:eastAsia="ja-JP"/>
        </w:rPr>
        <w:lastRenderedPageBreak/>
        <w:t xml:space="preserve">Stara A, </w:t>
      </w:r>
      <w:proofErr w:type="spellStart"/>
      <w:r>
        <w:rPr>
          <w:lang w:eastAsia="ja-JP"/>
        </w:rPr>
        <w:t>Machova</w:t>
      </w:r>
      <w:proofErr w:type="spellEnd"/>
      <w:r>
        <w:rPr>
          <w:lang w:eastAsia="ja-JP"/>
        </w:rPr>
        <w:t xml:space="preserve"> J and </w:t>
      </w:r>
      <w:proofErr w:type="spellStart"/>
      <w:r>
        <w:rPr>
          <w:lang w:eastAsia="ja-JP"/>
        </w:rPr>
        <w:t>Velisek</w:t>
      </w:r>
      <w:proofErr w:type="spellEnd"/>
      <w:r>
        <w:rPr>
          <w:lang w:eastAsia="ja-JP"/>
        </w:rPr>
        <w:t xml:space="preserve"> J (2012) ‘Effect of chronic exposure to simazine on oxidative stress and antioxidant response in common carp (</w:t>
      </w:r>
      <w:r w:rsidRPr="00F352C3">
        <w:rPr>
          <w:i/>
          <w:iCs/>
          <w:lang w:eastAsia="ja-JP"/>
        </w:rPr>
        <w:t>Cyprinus carpio</w:t>
      </w:r>
      <w:r>
        <w:rPr>
          <w:lang w:eastAsia="ja-JP"/>
        </w:rPr>
        <w:t xml:space="preserve"> L.)’, </w:t>
      </w:r>
      <w:r w:rsidRPr="00F352C3">
        <w:rPr>
          <w:i/>
          <w:iCs/>
          <w:lang w:eastAsia="ja-JP"/>
        </w:rPr>
        <w:t>Environmental Toxicology and Pharmacology</w:t>
      </w:r>
      <w:r>
        <w:rPr>
          <w:lang w:eastAsia="ja-JP"/>
        </w:rPr>
        <w:t>, 33:334–343.</w:t>
      </w:r>
    </w:p>
    <w:p w14:paraId="1B05FD49" w14:textId="77777777" w:rsidR="00872E34" w:rsidRDefault="00872E34" w:rsidP="00632F0C">
      <w:proofErr w:type="spellStart"/>
      <w:r>
        <w:t>Sunderam</w:t>
      </w:r>
      <w:proofErr w:type="spellEnd"/>
      <w:r>
        <w:t xml:space="preserve"> RIM, Warne </w:t>
      </w:r>
      <w:proofErr w:type="spellStart"/>
      <w:r>
        <w:t>MStJ</w:t>
      </w:r>
      <w:proofErr w:type="spellEnd"/>
      <w:r>
        <w:t xml:space="preserve">, Chapman JC, Pablo F, Hawkins J, Rose RM and Patra RW (2000) </w:t>
      </w:r>
      <w:r w:rsidRPr="00867B1F">
        <w:rPr>
          <w:i/>
          <w:iCs/>
        </w:rPr>
        <w:t>The ANZECC/ARMCANZ water quality guideline database for toxicants</w:t>
      </w:r>
      <w:r>
        <w:t>, supplied as CD-ROM in ANZECC/ARMCANZ Australian and New Zealand guidelines for fresh and marine water quality.</w:t>
      </w:r>
    </w:p>
    <w:p w14:paraId="4FD29EAD" w14:textId="77777777" w:rsidR="00872E34" w:rsidRDefault="00872E34" w:rsidP="007242D6">
      <w:r>
        <w:t xml:space="preserve">University of Hertfordshire (2013) </w:t>
      </w:r>
      <w:hyperlink r:id="rId62" w:history="1">
        <w:r w:rsidRPr="000248F5">
          <w:rPr>
            <w:rStyle w:val="Hyperlink"/>
            <w:i/>
            <w:iCs/>
          </w:rPr>
          <w:t xml:space="preserve">PPDB: Pesticide Properties </w:t>
        </w:r>
        <w:proofErr w:type="spellStart"/>
        <w:r w:rsidRPr="000248F5">
          <w:rPr>
            <w:rStyle w:val="Hyperlink"/>
            <w:i/>
            <w:iCs/>
          </w:rPr>
          <w:t>DataBase</w:t>
        </w:r>
        <w:proofErr w:type="spellEnd"/>
      </w:hyperlink>
      <w:r>
        <w:t xml:space="preserve"> [website], accessed 3 October 2024.</w:t>
      </w:r>
    </w:p>
    <w:p w14:paraId="5E1E45C9" w14:textId="77777777" w:rsidR="00872E34" w:rsidRPr="00CA45AF" w:rsidRDefault="00872E34" w:rsidP="00AE1155">
      <w:pPr>
        <w:rPr>
          <w:bCs/>
        </w:rPr>
      </w:pPr>
      <w:r w:rsidRPr="00CA45AF">
        <w:t xml:space="preserve">USEPA (2015) </w:t>
      </w:r>
      <w:hyperlink r:id="rId63" w:history="1">
        <w:r w:rsidRPr="006D4D6B">
          <w:rPr>
            <w:rStyle w:val="Hyperlink"/>
            <w:i/>
            <w:iCs/>
          </w:rPr>
          <w:t xml:space="preserve">ECOTOX Knowledgebase: </w:t>
        </w:r>
        <w:proofErr w:type="spellStart"/>
        <w:r w:rsidRPr="006D4D6B">
          <w:rPr>
            <w:rStyle w:val="Hyperlink"/>
            <w:i/>
            <w:iCs/>
          </w:rPr>
          <w:t>ECOTOXicology</w:t>
        </w:r>
        <w:proofErr w:type="spellEnd"/>
        <w:r w:rsidRPr="006D4D6B">
          <w:rPr>
            <w:rStyle w:val="Hyperlink"/>
            <w:i/>
            <w:iCs/>
          </w:rPr>
          <w:t xml:space="preserve"> Database System Version 4.0</w:t>
        </w:r>
      </w:hyperlink>
      <w:r w:rsidRPr="00CA45AF">
        <w:t xml:space="preserve"> </w:t>
      </w:r>
      <w:r>
        <w:t xml:space="preserve">[website], </w:t>
      </w:r>
      <w:r w:rsidRPr="00CA45AF">
        <w:t>United States Environmental Protection Agency.</w:t>
      </w:r>
    </w:p>
    <w:p w14:paraId="4A682249" w14:textId="77777777" w:rsidR="00872E34" w:rsidRDefault="00872E34" w:rsidP="00FA741B">
      <w:pPr>
        <w:rPr>
          <w:lang w:eastAsia="ja-JP"/>
        </w:rPr>
      </w:pPr>
      <w:r>
        <w:rPr>
          <w:lang w:eastAsia="ja-JP"/>
        </w:rPr>
        <w:t xml:space="preserve">Warne </w:t>
      </w:r>
      <w:proofErr w:type="spellStart"/>
      <w:r>
        <w:rPr>
          <w:lang w:eastAsia="ja-JP"/>
        </w:rPr>
        <w:t>MStJ</w:t>
      </w:r>
      <w:proofErr w:type="spellEnd"/>
      <w:r>
        <w:rPr>
          <w:lang w:eastAsia="ja-JP"/>
        </w:rPr>
        <w:t xml:space="preserve"> (2001) </w:t>
      </w:r>
      <w:r w:rsidRPr="00FA741B">
        <w:rPr>
          <w:i/>
          <w:iCs/>
          <w:lang w:eastAsia="ja-JP"/>
        </w:rPr>
        <w:t>Description of how each toxicant trigger value was derived</w:t>
      </w:r>
      <w:r>
        <w:rPr>
          <w:lang w:eastAsia="ja-JP"/>
        </w:rPr>
        <w:t xml:space="preserve">, </w:t>
      </w:r>
      <w:r>
        <w:t>supplied as CD-ROM in ANZECC/ARMCANZ Australian and New Zealand guidelines for fresh and marine water quality.</w:t>
      </w:r>
    </w:p>
    <w:p w14:paraId="17F82470" w14:textId="77777777" w:rsidR="00872E34" w:rsidRDefault="00872E34" w:rsidP="00FA741B">
      <w:r>
        <w:t xml:space="preserve">Warne </w:t>
      </w:r>
      <w:proofErr w:type="spellStart"/>
      <w:r>
        <w:t>MStJ</w:t>
      </w:r>
      <w:proofErr w:type="spellEnd"/>
      <w:r>
        <w:t xml:space="preserve">, Batley GE, van Dam RA, Chapman JC, Fox DR, Hickey CW, and Stauber JL (2018) </w:t>
      </w:r>
      <w:r w:rsidRPr="00A65020">
        <w:rPr>
          <w:i/>
          <w:iCs/>
        </w:rPr>
        <w:t>Revised method for deriving Australian and New Zealand water quality guideline values for toxicants – update of 2015 version</w:t>
      </w:r>
      <w:r>
        <w:t>, Australian and New Zealand governments and Australian state and territory governments.</w:t>
      </w:r>
    </w:p>
    <w:p w14:paraId="259A8EF7" w14:textId="77777777" w:rsidR="00872E34" w:rsidRDefault="00872E34" w:rsidP="00FA741B">
      <w:r>
        <w:t xml:space="preserve">Warne </w:t>
      </w:r>
      <w:proofErr w:type="spellStart"/>
      <w:r>
        <w:t>MStJ</w:t>
      </w:r>
      <w:proofErr w:type="spellEnd"/>
      <w:r>
        <w:t xml:space="preserve">, Westbury A-M and </w:t>
      </w:r>
      <w:proofErr w:type="spellStart"/>
      <w:r>
        <w:t>Sunderam</w:t>
      </w:r>
      <w:proofErr w:type="spellEnd"/>
      <w:r>
        <w:t xml:space="preserve"> R (1998) ‘A compilation of toxicity data for chemicals to Australasian aquatic species. Part 1: pesticides’ </w:t>
      </w:r>
      <w:r>
        <w:rPr>
          <w:i/>
        </w:rPr>
        <w:t>Australasian Journal of Ecotoxicology,</w:t>
      </w:r>
      <w:r>
        <w:t xml:space="preserve"> 4:93–144.</w:t>
      </w:r>
    </w:p>
    <w:p w14:paraId="356B6F00" w14:textId="77777777" w:rsidR="00872E34" w:rsidRDefault="00872E34" w:rsidP="00FA741B">
      <w:bookmarkStart w:id="59" w:name="_Hlk93316199"/>
      <w:r>
        <w:t xml:space="preserve">Wilkinson AD, Collier CJ, Flores F, Langlois L, Ralph PJ and Negri AP (2017) ‘Combined effects of temperature and the herbicide diuron on Photosystem II activity of the tropical seagrass </w:t>
      </w:r>
      <w:r w:rsidRPr="002A4520">
        <w:rPr>
          <w:i/>
          <w:iCs/>
        </w:rPr>
        <w:t>Halophila ovalis</w:t>
      </w:r>
      <w:r>
        <w:t xml:space="preserve">’, </w:t>
      </w:r>
      <w:r w:rsidRPr="002A4520">
        <w:rPr>
          <w:i/>
          <w:iCs/>
        </w:rPr>
        <w:t>Scientific Reports</w:t>
      </w:r>
      <w:r>
        <w:t xml:space="preserve">, </w:t>
      </w:r>
      <w:r w:rsidRPr="002A4520">
        <w:t>7</w:t>
      </w:r>
      <w:r>
        <w:t>:</w:t>
      </w:r>
      <w:r w:rsidRPr="002A4520">
        <w:t xml:space="preserve">45404. </w:t>
      </w:r>
    </w:p>
    <w:bookmarkEnd w:id="59"/>
    <w:p w14:paraId="758E2199" w14:textId="77777777" w:rsidR="00872E34" w:rsidRDefault="00872E34" w:rsidP="00FA741B">
      <w:pPr>
        <w:rPr>
          <w:color w:val="000000"/>
        </w:rPr>
      </w:pPr>
      <w:r>
        <w:rPr>
          <w:color w:val="000000"/>
        </w:rPr>
        <w:t>Wilson PC, Whitwell T and Klaine SJ (2000) ‘</w:t>
      </w:r>
      <w:proofErr w:type="spellStart"/>
      <w:r>
        <w:rPr>
          <w:color w:val="000000"/>
        </w:rPr>
        <w:t>Metalaxyl</w:t>
      </w:r>
      <w:proofErr w:type="spellEnd"/>
      <w:r>
        <w:rPr>
          <w:color w:val="000000"/>
        </w:rPr>
        <w:t xml:space="preserve"> and simazine toxicity to and uptake by </w:t>
      </w:r>
      <w:r>
        <w:rPr>
          <w:i/>
          <w:color w:val="000000"/>
        </w:rPr>
        <w:t>Typha latifolia</w:t>
      </w:r>
      <w:r>
        <w:rPr>
          <w:iCs/>
          <w:color w:val="000000"/>
        </w:rPr>
        <w:t>’,</w:t>
      </w:r>
      <w:r>
        <w:rPr>
          <w:color w:val="000000"/>
        </w:rPr>
        <w:t xml:space="preserve"> </w:t>
      </w:r>
      <w:r>
        <w:rPr>
          <w:i/>
          <w:color w:val="000000"/>
        </w:rPr>
        <w:t>Archives of Environmental Contamination and Toxicology,</w:t>
      </w:r>
      <w:r>
        <w:rPr>
          <w:color w:val="000000"/>
        </w:rPr>
        <w:t xml:space="preserve"> 39:282</w:t>
      </w:r>
      <w:r>
        <w:t>–</w:t>
      </w:r>
      <w:r>
        <w:rPr>
          <w:color w:val="000000"/>
        </w:rPr>
        <w:t>288.</w:t>
      </w:r>
    </w:p>
    <w:p w14:paraId="68ABD92D" w14:textId="77777777" w:rsidR="00872E34" w:rsidRDefault="00872E34" w:rsidP="00FA741B">
      <w:pPr>
        <w:rPr>
          <w:noProof/>
        </w:rPr>
      </w:pPr>
      <w:proofErr w:type="spellStart"/>
      <w:r>
        <w:t>WoRMS</w:t>
      </w:r>
      <w:proofErr w:type="spellEnd"/>
      <w:r>
        <w:t xml:space="preserve"> (2017) </w:t>
      </w:r>
      <w:hyperlink r:id="rId64" w:history="1">
        <w:r w:rsidRPr="001A7554">
          <w:rPr>
            <w:rStyle w:val="Hyperlink"/>
            <w:i/>
            <w:iCs/>
          </w:rPr>
          <w:t>World Register of Marine Species</w:t>
        </w:r>
      </w:hyperlink>
      <w:r>
        <w:t xml:space="preserve"> [website], </w:t>
      </w:r>
      <w:proofErr w:type="spellStart"/>
      <w:r>
        <w:rPr>
          <w:lang w:eastAsia="ja-JP"/>
        </w:rPr>
        <w:t>WoRMS</w:t>
      </w:r>
      <w:proofErr w:type="spellEnd"/>
      <w:r>
        <w:rPr>
          <w:lang w:eastAsia="ja-JP"/>
        </w:rPr>
        <w:t xml:space="preserve"> Editorial Board</w:t>
      </w:r>
      <w:r>
        <w:t>, a</w:t>
      </w:r>
      <w:r>
        <w:rPr>
          <w:lang w:eastAsia="ja-JP"/>
        </w:rPr>
        <w:t>ccessed May 2017.</w:t>
      </w:r>
    </w:p>
    <w:p w14:paraId="48DF0F74" w14:textId="77777777" w:rsidR="004F2FCD" w:rsidRDefault="004F2FCD" w:rsidP="00600CB3"/>
    <w:sectPr w:rsidR="004F2FCD" w:rsidSect="00D971E6">
      <w:headerReference w:type="even" r:id="rId65"/>
      <w:headerReference w:type="default" r:id="rId66"/>
      <w:footerReference w:type="even" r:id="rId67"/>
      <w:footerReference w:type="default" r:id="rId68"/>
      <w:headerReference w:type="first" r:id="rId69"/>
      <w:footerReference w:type="first" r:id="rId70"/>
      <w:pgSz w:w="11906" w:h="16838"/>
      <w:pgMar w:top="1418" w:right="1418" w:bottom="1418" w:left="1418" w:header="56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uthor" w:initials="A">
    <w:p w14:paraId="7F2DD025" w14:textId="14E71BED" w:rsidR="00206104" w:rsidRDefault="00206104" w:rsidP="00206104">
      <w:pPr>
        <w:pStyle w:val="CommentText"/>
      </w:pPr>
      <w:r>
        <w:rPr>
          <w:rStyle w:val="CommentReference"/>
        </w:rPr>
        <w:annotationRef/>
      </w:r>
      <w:r>
        <w:t>Add hyperlink to data quality assessment spreadsheet once url known.</w:t>
      </w:r>
    </w:p>
  </w:comment>
  <w:comment w:id="18" w:author="Author" w:initials="A">
    <w:p w14:paraId="1B972670" w14:textId="77777777" w:rsidR="00206104" w:rsidRDefault="00206104" w:rsidP="00206104">
      <w:pPr>
        <w:pStyle w:val="CommentText"/>
      </w:pPr>
      <w:r>
        <w:rPr>
          <w:rStyle w:val="CommentReference"/>
        </w:rPr>
        <w:annotationRef/>
      </w:r>
      <w:r>
        <w:rPr>
          <w:rStyle w:val="CommentReference"/>
        </w:rPr>
        <w:annotationRef/>
      </w:r>
      <w:r>
        <w:t>Add hyperlink to data entry spreadsheet once url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2DD025" w15:done="0"/>
  <w15:commentEx w15:paraId="1B972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2DD025" w16cid:durableId="1E640CA9"/>
  <w16cid:commentId w16cid:paraId="1B972670" w16cid:durableId="62900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AB09" w14:textId="77777777" w:rsidR="00F900F9" w:rsidRDefault="00F900F9">
      <w:pPr>
        <w:spacing w:after="0" w:line="240" w:lineRule="auto"/>
      </w:pPr>
      <w:r>
        <w:separator/>
      </w:r>
    </w:p>
  </w:endnote>
  <w:endnote w:type="continuationSeparator" w:id="0">
    <w:p w14:paraId="7A1B04AD" w14:textId="77777777" w:rsidR="00F900F9" w:rsidRDefault="00F900F9">
      <w:pPr>
        <w:spacing w:after="0" w:line="240" w:lineRule="auto"/>
      </w:pPr>
      <w:r>
        <w:continuationSeparator/>
      </w:r>
    </w:p>
  </w:endnote>
  <w:endnote w:type="continuationNotice" w:id="1">
    <w:p w14:paraId="0C06C76C" w14:textId="77777777" w:rsidR="00F900F9" w:rsidRDefault="00F900F9">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B389" w14:textId="63851043" w:rsidR="009873B3" w:rsidRDefault="009873B3">
    <w:pPr>
      <w:pStyle w:val="Footer"/>
    </w:pPr>
    <w:r>
      <w:rPr>
        <w:noProof/>
      </w:rPr>
      <mc:AlternateContent>
        <mc:Choice Requires="wps">
          <w:drawing>
            <wp:anchor distT="0" distB="0" distL="0" distR="0" simplePos="0" relativeHeight="251658254" behindDoc="0" locked="0" layoutInCell="1" allowOverlap="1" wp14:anchorId="02CDC7AA" wp14:editId="764CA0B1">
              <wp:simplePos x="635" y="635"/>
              <wp:positionH relativeFrom="page">
                <wp:align>center</wp:align>
              </wp:positionH>
              <wp:positionV relativeFrom="page">
                <wp:align>bottom</wp:align>
              </wp:positionV>
              <wp:extent cx="551815" cy="404495"/>
              <wp:effectExtent l="0" t="0" r="635" b="0"/>
              <wp:wrapNone/>
              <wp:docPr id="136191623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613C39" w14:textId="59501E7D"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DC7AA" id="_x0000_t202" coordsize="21600,21600" o:spt="202" path="m,l,21600r21600,l21600,xe">
              <v:stroke joinstyle="miter"/>
              <v:path gradientshapeok="t" o:connecttype="rect"/>
            </v:shapetype>
            <v:shape id="Text Box 14" o:spid="_x0000_s1027"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C613C39" w14:textId="59501E7D"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BF34" w14:textId="7F255C9A" w:rsidR="009873B3" w:rsidRDefault="009873B3">
    <w:pPr>
      <w:pStyle w:val="Footer"/>
    </w:pPr>
    <w:r>
      <w:rPr>
        <w:noProof/>
      </w:rPr>
      <mc:AlternateContent>
        <mc:Choice Requires="wps">
          <w:drawing>
            <wp:anchor distT="0" distB="0" distL="0" distR="0" simplePos="0" relativeHeight="251658262" behindDoc="0" locked="0" layoutInCell="1" allowOverlap="1" wp14:anchorId="575E732F" wp14:editId="709E5F4F">
              <wp:simplePos x="635" y="635"/>
              <wp:positionH relativeFrom="page">
                <wp:align>center</wp:align>
              </wp:positionH>
              <wp:positionV relativeFrom="page">
                <wp:align>bottom</wp:align>
              </wp:positionV>
              <wp:extent cx="551815" cy="404495"/>
              <wp:effectExtent l="0" t="0" r="635" b="0"/>
              <wp:wrapNone/>
              <wp:docPr id="14411366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700D0B" w14:textId="2DB14D4B"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E732F" id="_x0000_t202" coordsize="21600,21600" o:spt="202" path="m,l,21600r21600,l21600,xe">
              <v:stroke joinstyle="miter"/>
              <v:path gradientshapeok="t" o:connecttype="rect"/>
            </v:shapetype>
            <v:shape id="Text Box 23" o:spid="_x0000_s1035" type="#_x0000_t202" alt="OFFICIAL" style="position:absolute;left:0;text-align:left;margin-left:0;margin-top:0;width:43.45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68700D0B" w14:textId="2DB14D4B"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C55B" w14:textId="00D5EE39" w:rsidR="003908AC" w:rsidRDefault="006D2E01" w:rsidP="003908AC">
    <w:pPr>
      <w:pStyle w:val="Footer"/>
      <w:tabs>
        <w:tab w:val="clear" w:pos="4536"/>
        <w:tab w:val="left" w:pos="8647"/>
        <w:tab w:val="left" w:pos="14034"/>
      </w:tabs>
      <w:spacing w:before="120"/>
    </w:pPr>
    <w:r>
      <w:rPr>
        <w:noProof/>
      </w:rPr>
      <mc:AlternateContent>
        <mc:Choice Requires="wps">
          <w:drawing>
            <wp:anchor distT="0" distB="0" distL="0" distR="0" simplePos="0" relativeHeight="251682840" behindDoc="0" locked="0" layoutInCell="1" allowOverlap="1" wp14:anchorId="2A20B2FC" wp14:editId="6BA20710">
              <wp:simplePos x="0" y="0"/>
              <wp:positionH relativeFrom="margin">
                <wp:align>center</wp:align>
              </wp:positionH>
              <wp:positionV relativeFrom="page">
                <wp:posOffset>9859394</wp:posOffset>
              </wp:positionV>
              <wp:extent cx="551815" cy="404495"/>
              <wp:effectExtent l="0" t="0" r="635" b="14605"/>
              <wp:wrapNone/>
              <wp:docPr id="13278275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61F1CB"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0B2FC" id="_x0000_t202" coordsize="21600,21600" o:spt="202" path="m,l,21600r21600,l21600,xe">
              <v:stroke joinstyle="miter"/>
              <v:path gradientshapeok="t" o:connecttype="rect"/>
            </v:shapetype>
            <v:shape id="_x0000_s1047" type="#_x0000_t202" alt="OFFICIAL" style="position:absolute;left:0;text-align:left;margin-left:0;margin-top:776.35pt;width:43.45pt;height:31.85pt;z-index:25168284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eN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" filled="f" stroked="f">
              <v:textbox style="mso-fit-shape-to-text:t" inset="0,15pt,0,0">
                <w:txbxContent>
                  <w:p w14:paraId="2261F1CB"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3908AC">
      <w:t>Australian and New Zealand Guidelines for Fresh and Marine Water Quality</w:t>
    </w:r>
    <w:r w:rsidR="003908AC">
      <w:tab/>
    </w:r>
    <w:r w:rsidR="003908AC">
      <w:fldChar w:fldCharType="begin"/>
    </w:r>
    <w:r w:rsidR="003908AC">
      <w:instrText xml:space="preserve"> PAGE   \* MERGEFORMAT </w:instrText>
    </w:r>
    <w:r w:rsidR="003908AC">
      <w:fldChar w:fldCharType="separate"/>
    </w:r>
    <w:r w:rsidR="003908AC">
      <w:t>2</w:t>
    </w:r>
    <w:r w:rsidR="003908AC">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FF5F" w14:textId="53B3ACCF" w:rsidR="009873B3" w:rsidRDefault="009873B3">
    <w:pPr>
      <w:pStyle w:val="Footer"/>
    </w:pPr>
    <w:r>
      <w:rPr>
        <w:noProof/>
      </w:rPr>
      <mc:AlternateContent>
        <mc:Choice Requires="wps">
          <w:drawing>
            <wp:anchor distT="0" distB="0" distL="0" distR="0" simplePos="0" relativeHeight="251658264" behindDoc="0" locked="0" layoutInCell="1" allowOverlap="1" wp14:anchorId="2EF95485" wp14:editId="774BE389">
              <wp:simplePos x="635" y="635"/>
              <wp:positionH relativeFrom="page">
                <wp:align>center</wp:align>
              </wp:positionH>
              <wp:positionV relativeFrom="page">
                <wp:align>bottom</wp:align>
              </wp:positionV>
              <wp:extent cx="551815" cy="404495"/>
              <wp:effectExtent l="0" t="0" r="635" b="0"/>
              <wp:wrapNone/>
              <wp:docPr id="14744594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7A9127" w14:textId="631F76D5"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95485" id="_x0000_t202" coordsize="21600,21600" o:spt="202" path="m,l,21600r21600,l21600,xe">
              <v:stroke joinstyle="miter"/>
              <v:path gradientshapeok="t" o:connecttype="rect"/>
            </v:shapetype>
            <v:shape id="Text Box 22" o:spid="_x0000_s1037" type="#_x0000_t202" alt="OFFICIAL" style="position:absolute;left:0;text-align:left;margin-left:0;margin-top:0;width:43.45pt;height:31.8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727A9127" w14:textId="631F76D5"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01FD" w14:textId="5334EFFB" w:rsidR="00DD6A0B" w:rsidRDefault="006D2E01" w:rsidP="00E633CD">
    <w:pPr>
      <w:pStyle w:val="Footer"/>
      <w:tabs>
        <w:tab w:val="clear" w:pos="4536"/>
        <w:tab w:val="left" w:pos="8647"/>
        <w:tab w:val="left" w:pos="14034"/>
      </w:tabs>
      <w:spacing w:before="120"/>
    </w:pPr>
    <w:r>
      <w:rPr>
        <w:noProof/>
      </w:rPr>
      <mc:AlternateContent>
        <mc:Choice Requires="wps">
          <w:drawing>
            <wp:anchor distT="0" distB="0" distL="0" distR="0" simplePos="0" relativeHeight="251660312" behindDoc="0" locked="0" layoutInCell="1" allowOverlap="1" wp14:anchorId="0E658F37" wp14:editId="37AD3036">
              <wp:simplePos x="0" y="0"/>
              <wp:positionH relativeFrom="margin">
                <wp:align>center</wp:align>
              </wp:positionH>
              <wp:positionV relativeFrom="page">
                <wp:posOffset>9842141</wp:posOffset>
              </wp:positionV>
              <wp:extent cx="551815" cy="404495"/>
              <wp:effectExtent l="0" t="0" r="635" b="14605"/>
              <wp:wrapNone/>
              <wp:docPr id="10075153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0E07D6"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58F37" id="_x0000_t202" coordsize="21600,21600" o:spt="202" path="m,l,21600r21600,l21600,xe">
              <v:stroke joinstyle="miter"/>
              <v:path gradientshapeok="t" o:connecttype="rect"/>
            </v:shapetype>
            <v:shape id="_x0000_s1029" type="#_x0000_t202" alt="OFFICIAL" style="position:absolute;left:0;text-align:left;margin-left:0;margin-top:774.95pt;width:43.45pt;height:31.85pt;z-index:25166031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" filled="f" stroked="f">
              <v:textbox style="mso-fit-shape-to-text:t" inset="0,15pt,0,0">
                <w:txbxContent>
                  <w:p w14:paraId="4E0E07D6"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t>Australian and New Zealand Guidelines for Fresh and Marine Water Quality</w:t>
    </w:r>
    <w:r w:rsidR="00DD6A0B">
      <w:tab/>
    </w:r>
    <w:r w:rsidR="00DD6A0B">
      <w:fldChar w:fldCharType="begin"/>
    </w:r>
    <w:r w:rsidR="00DD6A0B">
      <w:instrText xml:space="preserve"> PAGE   \* MERGEFORMAT </w:instrText>
    </w:r>
    <w:r w:rsidR="00DD6A0B">
      <w:fldChar w:fldCharType="separate"/>
    </w:r>
    <w:r w:rsidR="00DD6A0B">
      <w:rPr>
        <w:noProof/>
      </w:rPr>
      <w:t>16</w:t>
    </w:r>
    <w:r w:rsidR="00DD6A0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FC47" w14:textId="454D8733" w:rsidR="006D2E01" w:rsidRDefault="006D2E01">
    <w:pPr>
      <w:pStyle w:val="Footer"/>
    </w:pPr>
    <w:r>
      <w:rPr>
        <w:noProof/>
      </w:rPr>
      <mc:AlternateContent>
        <mc:Choice Requires="wps">
          <w:drawing>
            <wp:anchor distT="0" distB="0" distL="0" distR="0" simplePos="0" relativeHeight="251664408" behindDoc="0" locked="0" layoutInCell="1" allowOverlap="1" wp14:anchorId="4A488984" wp14:editId="2E59FDEE">
              <wp:simplePos x="0" y="0"/>
              <wp:positionH relativeFrom="margin">
                <wp:align>center</wp:align>
              </wp:positionH>
              <wp:positionV relativeFrom="page">
                <wp:posOffset>9737185</wp:posOffset>
              </wp:positionV>
              <wp:extent cx="551815" cy="404495"/>
              <wp:effectExtent l="0" t="0" r="635" b="14605"/>
              <wp:wrapNone/>
              <wp:docPr id="1701811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6E96BF"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88984" id="_x0000_t202" coordsize="21600,21600" o:spt="202" path="m,l,21600r21600,l21600,xe">
              <v:stroke joinstyle="miter"/>
              <v:path gradientshapeok="t" o:connecttype="rect"/>
            </v:shapetype>
            <v:shape id="_x0000_s1031" type="#_x0000_t202" alt="OFFICIAL" style="position:absolute;left:0;text-align:left;margin-left:0;margin-top:766.7pt;width:43.45pt;height:31.85pt;z-index:25166440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" filled="f" stroked="f">
              <v:textbox style="mso-fit-shape-to-text:t" inset="0,15pt,0,0">
                <w:txbxContent>
                  <w:p w14:paraId="1D6E96BF"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43D1" w14:textId="37612DAA" w:rsidR="009873B3" w:rsidRDefault="009873B3">
    <w:pPr>
      <w:pStyle w:val="Footer"/>
    </w:pPr>
    <w:r>
      <w:rPr>
        <w:noProof/>
      </w:rPr>
      <mc:AlternateContent>
        <mc:Choice Requires="wps">
          <w:drawing>
            <wp:anchor distT="0" distB="0" distL="0" distR="0" simplePos="0" relativeHeight="251658256" behindDoc="0" locked="0" layoutInCell="1" allowOverlap="1" wp14:anchorId="2621A82E" wp14:editId="4350499E">
              <wp:simplePos x="635" y="635"/>
              <wp:positionH relativeFrom="page">
                <wp:align>center</wp:align>
              </wp:positionH>
              <wp:positionV relativeFrom="page">
                <wp:align>bottom</wp:align>
              </wp:positionV>
              <wp:extent cx="551815" cy="404495"/>
              <wp:effectExtent l="0" t="0" r="635" b="0"/>
              <wp:wrapNone/>
              <wp:docPr id="102034640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31A6C7" w14:textId="7ED7E3A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1A82E" id="_x0000_t202" coordsize="21600,21600" o:spt="202" path="m,l,21600r21600,l21600,xe">
              <v:stroke joinstyle="miter"/>
              <v:path gradientshapeok="t" o:connecttype="rect"/>
            </v:shapetype>
            <v:shape id="Text Box 17" o:spid="_x0000_s1029"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F31A6C7" w14:textId="7ED7E3A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D23D" w14:textId="182517BD" w:rsidR="003908AC" w:rsidRDefault="006D2E01" w:rsidP="003908AC">
    <w:pPr>
      <w:pStyle w:val="Footer"/>
      <w:tabs>
        <w:tab w:val="clear" w:pos="4536"/>
        <w:tab w:val="left" w:pos="8647"/>
        <w:tab w:val="left" w:pos="14034"/>
      </w:tabs>
      <w:spacing w:before="120"/>
    </w:pPr>
    <w:r>
      <w:rPr>
        <w:noProof/>
      </w:rPr>
      <mc:AlternateContent>
        <mc:Choice Requires="wps">
          <w:drawing>
            <wp:anchor distT="0" distB="0" distL="0" distR="0" simplePos="0" relativeHeight="251674648" behindDoc="0" locked="0" layoutInCell="1" allowOverlap="1" wp14:anchorId="4D28FAE0" wp14:editId="13C2E1AD">
              <wp:simplePos x="0" y="0"/>
              <wp:positionH relativeFrom="margin">
                <wp:align>center</wp:align>
              </wp:positionH>
              <wp:positionV relativeFrom="page">
                <wp:posOffset>9842141</wp:posOffset>
              </wp:positionV>
              <wp:extent cx="551815" cy="404495"/>
              <wp:effectExtent l="0" t="0" r="635" b="14605"/>
              <wp:wrapNone/>
              <wp:docPr id="2668043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81054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8FAE0" id="_x0000_t202" coordsize="21600,21600" o:spt="202" path="m,l,21600r21600,l21600,xe">
              <v:stroke joinstyle="miter"/>
              <v:path gradientshapeok="t" o:connecttype="rect"/>
            </v:shapetype>
            <v:shape id="_x0000_s1035" type="#_x0000_t202" alt="OFFICIAL" style="position:absolute;left:0;text-align:left;margin-left:0;margin-top:774.95pt;width:43.45pt;height:31.85pt;z-index:25167464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T0DgIAABw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" filled="f" stroked="f">
              <v:textbox style="mso-fit-shape-to-text:t" inset="0,15pt,0,0">
                <w:txbxContent>
                  <w:p w14:paraId="7581054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3908AC">
      <w:t>Australian and New Zealand Guidelines for Fresh and Marine Water Quality</w:t>
    </w:r>
    <w:r w:rsidR="003908AC">
      <w:tab/>
    </w:r>
    <w:r w:rsidR="003908AC">
      <w:fldChar w:fldCharType="begin"/>
    </w:r>
    <w:r w:rsidR="003908AC">
      <w:instrText xml:space="preserve"> PAGE   \* MERGEFORMAT </w:instrText>
    </w:r>
    <w:r w:rsidR="003908AC">
      <w:fldChar w:fldCharType="separate"/>
    </w:r>
    <w:r w:rsidR="003908AC">
      <w:t>2</w:t>
    </w:r>
    <w:r w:rsidR="003908A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C826" w14:textId="1DE2CA52" w:rsidR="00DD6A0B" w:rsidRDefault="006D2E01" w:rsidP="00E633CD">
    <w:pPr>
      <w:pStyle w:val="Footer"/>
      <w:tabs>
        <w:tab w:val="clear" w:pos="4536"/>
        <w:tab w:val="left" w:pos="8647"/>
        <w:tab w:val="left" w:pos="14034"/>
      </w:tabs>
      <w:spacing w:before="120"/>
    </w:pPr>
    <w:r>
      <w:rPr>
        <w:noProof/>
      </w:rPr>
      <mc:AlternateContent>
        <mc:Choice Requires="wps">
          <w:drawing>
            <wp:anchor distT="0" distB="0" distL="0" distR="0" simplePos="0" relativeHeight="251670552" behindDoc="0" locked="0" layoutInCell="1" allowOverlap="1" wp14:anchorId="09DE5AFB" wp14:editId="30DE2AA9">
              <wp:simplePos x="0" y="0"/>
              <wp:positionH relativeFrom="margin">
                <wp:align>center</wp:align>
              </wp:positionH>
              <wp:positionV relativeFrom="page">
                <wp:posOffset>9816261</wp:posOffset>
              </wp:positionV>
              <wp:extent cx="551815" cy="404495"/>
              <wp:effectExtent l="0" t="0" r="635" b="14605"/>
              <wp:wrapNone/>
              <wp:docPr id="2735583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AF9780"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E5AFB" id="_x0000_t202" coordsize="21600,21600" o:spt="202" path="m,l,21600r21600,l21600,xe">
              <v:stroke joinstyle="miter"/>
              <v:path gradientshapeok="t" o:connecttype="rect"/>
            </v:shapetype>
            <v:shape id="_x0000_s1037" type="#_x0000_t202" alt="OFFICIAL" style="position:absolute;left:0;text-align:left;margin-left:0;margin-top:772.95pt;width:43.45pt;height:31.85pt;z-index:25167055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TYDQIAAB0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" filled="f" stroked="f">
              <v:textbox style="mso-fit-shape-to-text:t" inset="0,15pt,0,0">
                <w:txbxContent>
                  <w:p w14:paraId="34AF9780"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t>Australian and New Zealand Guidelines for Fresh and Marine Water Quality</w:t>
    </w:r>
    <w:r w:rsidR="00DD6A0B">
      <w:tab/>
    </w:r>
    <w:r w:rsidR="00DD6A0B">
      <w:fldChar w:fldCharType="begin"/>
    </w:r>
    <w:r w:rsidR="00DD6A0B">
      <w:instrText xml:space="preserve"> PAGE   \* MERGEFORMAT </w:instrText>
    </w:r>
    <w:r w:rsidR="00DD6A0B">
      <w:fldChar w:fldCharType="separate"/>
    </w:r>
    <w:r w:rsidR="00DD6A0B">
      <w:rPr>
        <w:noProof/>
      </w:rPr>
      <w:t>5</w:t>
    </w:r>
    <w:r w:rsidR="00DD6A0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2F37" w14:textId="5A41C7F8" w:rsidR="009873B3" w:rsidRDefault="009873B3">
    <w:pPr>
      <w:pStyle w:val="Footer"/>
    </w:pPr>
    <w:r>
      <w:rPr>
        <w:noProof/>
      </w:rPr>
      <mc:AlternateContent>
        <mc:Choice Requires="wps">
          <w:drawing>
            <wp:anchor distT="0" distB="0" distL="0" distR="0" simplePos="0" relativeHeight="251658258" behindDoc="0" locked="0" layoutInCell="1" allowOverlap="1" wp14:anchorId="28A1487E" wp14:editId="33B3B148">
              <wp:simplePos x="635" y="635"/>
              <wp:positionH relativeFrom="page">
                <wp:align>center</wp:align>
              </wp:positionH>
              <wp:positionV relativeFrom="page">
                <wp:align>bottom</wp:align>
              </wp:positionV>
              <wp:extent cx="551815" cy="404495"/>
              <wp:effectExtent l="0" t="0" r="635" b="0"/>
              <wp:wrapNone/>
              <wp:docPr id="184164215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588CD4" w14:textId="361F8F1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1487E" id="_x0000_t202" coordsize="21600,21600" o:spt="202" path="m,l,21600r21600,l21600,xe">
              <v:stroke joinstyle="miter"/>
              <v:path gradientshapeok="t" o:connecttype="rect"/>
            </v:shapetype>
            <v:shape id="Text Box 20" o:spid="_x0000_s1031"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588CD4" w14:textId="361F8F1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2FDA" w14:textId="0441ED98" w:rsidR="003908AC" w:rsidRDefault="006D2E01" w:rsidP="003908AC">
    <w:pPr>
      <w:pStyle w:val="Footer"/>
      <w:tabs>
        <w:tab w:val="clear" w:pos="4536"/>
        <w:tab w:val="left" w:pos="8647"/>
        <w:tab w:val="left" w:pos="14034"/>
      </w:tabs>
      <w:spacing w:before="120"/>
    </w:pPr>
    <w:r>
      <w:rPr>
        <w:noProof/>
      </w:rPr>
      <mc:AlternateContent>
        <mc:Choice Requires="wps">
          <w:drawing>
            <wp:anchor distT="0" distB="0" distL="0" distR="0" simplePos="0" relativeHeight="251678744" behindDoc="0" locked="0" layoutInCell="1" allowOverlap="1" wp14:anchorId="70449D35" wp14:editId="0240E259">
              <wp:simplePos x="0" y="0"/>
              <wp:positionH relativeFrom="margin">
                <wp:align>center</wp:align>
              </wp:positionH>
              <wp:positionV relativeFrom="page">
                <wp:posOffset>6693068</wp:posOffset>
              </wp:positionV>
              <wp:extent cx="551815" cy="404495"/>
              <wp:effectExtent l="0" t="0" r="635" b="14605"/>
              <wp:wrapNone/>
              <wp:docPr id="8407851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1C75CDF"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49D35" id="_x0000_t202" coordsize="21600,21600" o:spt="202" path="m,l,21600r21600,l21600,xe">
              <v:stroke joinstyle="miter"/>
              <v:path gradientshapeok="t" o:connecttype="rect"/>
            </v:shapetype>
            <v:shape id="_x0000_s1041" type="#_x0000_t202" alt="OFFICIAL" style="position:absolute;left:0;text-align:left;margin-left:0;margin-top:527pt;width:43.45pt;height:31.85pt;z-index:25167874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" filled="f" stroked="f">
              <v:textbox style="mso-fit-shape-to-text:t" inset="0,15pt,0,0">
                <w:txbxContent>
                  <w:p w14:paraId="71C75CDF"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3908AC">
      <w:t>Australian and New Zealand Guidelines for Fresh and Marine Water Quality</w:t>
    </w:r>
    <w:r w:rsidR="003908AC">
      <w:tab/>
    </w:r>
    <w:r w:rsidR="003908AC">
      <w:fldChar w:fldCharType="begin"/>
    </w:r>
    <w:r w:rsidR="003908AC">
      <w:instrText xml:space="preserve"> PAGE   \* MERGEFORMAT </w:instrText>
    </w:r>
    <w:r w:rsidR="003908AC">
      <w:fldChar w:fldCharType="separate"/>
    </w:r>
    <w:r w:rsidR="003908AC">
      <w:t>2</w:t>
    </w:r>
    <w:r w:rsidR="003908AC">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3F19" w14:textId="3F7005E9" w:rsidR="009873B3" w:rsidRDefault="009873B3">
    <w:pPr>
      <w:pStyle w:val="Footer"/>
    </w:pPr>
    <w:r>
      <w:rPr>
        <w:noProof/>
      </w:rPr>
      <mc:AlternateContent>
        <mc:Choice Requires="wps">
          <w:drawing>
            <wp:anchor distT="0" distB="0" distL="0" distR="0" simplePos="0" relativeHeight="251658260" behindDoc="0" locked="0" layoutInCell="1" allowOverlap="1" wp14:anchorId="479F8C44" wp14:editId="47F0A1F1">
              <wp:simplePos x="635" y="635"/>
              <wp:positionH relativeFrom="page">
                <wp:align>center</wp:align>
              </wp:positionH>
              <wp:positionV relativeFrom="page">
                <wp:align>bottom</wp:align>
              </wp:positionV>
              <wp:extent cx="551815" cy="404495"/>
              <wp:effectExtent l="0" t="0" r="635" b="0"/>
              <wp:wrapNone/>
              <wp:docPr id="133326233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9D7E15" w14:textId="2CFAC28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F8C44" id="_x0000_t202" coordsize="21600,21600" o:spt="202" path="m,l,21600r21600,l21600,xe">
              <v:stroke joinstyle="miter"/>
              <v:path gradientshapeok="t" o:connecttype="rect"/>
            </v:shapetype>
            <v:shape id="Text Box 19" o:spid="_x0000_s1033"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589D7E15" w14:textId="2CFAC28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464B" w14:textId="77777777" w:rsidR="00F900F9" w:rsidRDefault="00F900F9">
      <w:pPr>
        <w:spacing w:after="0" w:line="240" w:lineRule="auto"/>
      </w:pPr>
      <w:r>
        <w:separator/>
      </w:r>
    </w:p>
  </w:footnote>
  <w:footnote w:type="continuationSeparator" w:id="0">
    <w:p w14:paraId="682F4899" w14:textId="77777777" w:rsidR="00F900F9" w:rsidRDefault="00F900F9">
      <w:pPr>
        <w:spacing w:after="0" w:line="240" w:lineRule="auto"/>
      </w:pPr>
      <w:r>
        <w:continuationSeparator/>
      </w:r>
    </w:p>
  </w:footnote>
  <w:footnote w:type="continuationNotice" w:id="1">
    <w:p w14:paraId="34F36823" w14:textId="77777777" w:rsidR="00F900F9" w:rsidRDefault="00F900F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7B92" w14:textId="7DD1D966" w:rsidR="009873B3" w:rsidRDefault="006D2E01">
    <w:pPr>
      <w:pStyle w:val="Header"/>
    </w:pPr>
    <w:r>
      <w:rPr>
        <w:noProof/>
      </w:rPr>
      <w:pict w14:anchorId="3A3AD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07" o:spid="_x0000_s1026" type="#_x0000_t136" style="position:absolute;left:0;text-align:left;margin-left:0;margin-top:0;width:399.6pt;height:239.75pt;rotation:315;z-index:-251629544;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rPr>
      <mc:AlternateContent>
        <mc:Choice Requires="wps">
          <w:drawing>
            <wp:anchor distT="0" distB="0" distL="0" distR="0" simplePos="0" relativeHeight="251658253" behindDoc="0" locked="0" layoutInCell="1" allowOverlap="1" wp14:anchorId="5671F97B" wp14:editId="31C69FF8">
              <wp:simplePos x="635" y="635"/>
              <wp:positionH relativeFrom="page">
                <wp:align>center</wp:align>
              </wp:positionH>
              <wp:positionV relativeFrom="page">
                <wp:align>top</wp:align>
              </wp:positionV>
              <wp:extent cx="551815" cy="404495"/>
              <wp:effectExtent l="0" t="0" r="635" b="14605"/>
              <wp:wrapNone/>
              <wp:docPr id="5045930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C8C22F" w14:textId="13CE588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1F97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FC8C22F" w14:textId="13CE588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528F" w14:textId="1AA27169" w:rsidR="00DD6A0B" w:rsidRDefault="006D2E01">
    <w:pPr>
      <w:spacing w:after="0" w:line="200" w:lineRule="exact"/>
      <w:rPr>
        <w:sz w:val="20"/>
        <w:szCs w:val="20"/>
      </w:rPr>
    </w:pPr>
    <w:r>
      <w:rPr>
        <w:noProof/>
      </w:rPr>
      <w:pict w14:anchorId="1FF1C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6" o:spid="_x0000_s1035" type="#_x0000_t136" style="position:absolute;margin-left:0;margin-top:0;width:399.6pt;height:239.75pt;rotation:315;z-index:-251611112;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sz w:val="20"/>
        <w:szCs w:val="20"/>
      </w:rPr>
      <mc:AlternateContent>
        <mc:Choice Requires="wps">
          <w:drawing>
            <wp:anchor distT="0" distB="0" distL="0" distR="0" simplePos="0" relativeHeight="251658250" behindDoc="0" locked="0" layoutInCell="1" allowOverlap="1" wp14:anchorId="160D63E5" wp14:editId="53A06B31">
              <wp:simplePos x="635" y="635"/>
              <wp:positionH relativeFrom="page">
                <wp:align>center</wp:align>
              </wp:positionH>
              <wp:positionV relativeFrom="page">
                <wp:align>top</wp:align>
              </wp:positionV>
              <wp:extent cx="551815" cy="404495"/>
              <wp:effectExtent l="0" t="0" r="635" b="14605"/>
              <wp:wrapNone/>
              <wp:docPr id="120540104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292C18" w14:textId="078D626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D63E5" id="_x0000_t202" coordsize="21600,21600" o:spt="202" path="m,l,21600r21600,l21600,xe">
              <v:stroke joinstyle="miter"/>
              <v:path gradientshapeok="t" o:connecttype="rect"/>
            </v:shapetype>
            <v:shape id="Text Box 11" o:spid="_x0000_s1034" type="#_x0000_t202" alt="OFFICIAL" style="position:absolute;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textbox style="mso-fit-shape-to-text:t" inset="0,15pt,0,0">
                <w:txbxContent>
                  <w:p w14:paraId="35292C18" w14:textId="078D626C"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6CA5" w14:textId="51ED9281" w:rsidR="003908AC" w:rsidRDefault="006D2E01" w:rsidP="003908AC">
    <w:pPr>
      <w:pStyle w:val="Header"/>
    </w:pPr>
    <w:r>
      <w:rPr>
        <w:noProof/>
      </w:rPr>
      <w:pict w14:anchorId="0D2EA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7" o:spid="_x0000_s1036" type="#_x0000_t136" style="position:absolute;left:0;text-align:left;margin-left:0;margin-top:0;width:399.6pt;height:239.75pt;rotation:315;z-index:-251609064;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80792" behindDoc="0" locked="0" layoutInCell="1" allowOverlap="1" wp14:anchorId="422097A9" wp14:editId="6CCA27B3">
              <wp:simplePos x="0" y="0"/>
              <wp:positionH relativeFrom="margin">
                <wp:align>center</wp:align>
              </wp:positionH>
              <wp:positionV relativeFrom="page">
                <wp:posOffset>14989</wp:posOffset>
              </wp:positionV>
              <wp:extent cx="551815" cy="404495"/>
              <wp:effectExtent l="0" t="0" r="635" b="14605"/>
              <wp:wrapNone/>
              <wp:docPr id="7204866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382708"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097A9" id="_x0000_t202" coordsize="21600,21600" o:spt="202" path="m,l,21600r21600,l21600,xe">
              <v:stroke joinstyle="miter"/>
              <v:path gradientshapeok="t" o:connecttype="rect"/>
            </v:shapetype>
            <v:shape id="_x0000_s1045" type="#_x0000_t202" alt="OFFICIAL" style="position:absolute;left:0;text-align:left;margin-left:0;margin-top:1.2pt;width:43.45pt;height:31.85pt;z-index:25168079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uDgIAAB0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" filled="f" stroked="f">
              <v:textbox style="mso-fit-shape-to-text:t" inset="0,15pt,0,0">
                <w:txbxContent>
                  <w:p w14:paraId="0E382708"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3908AC">
      <w:t>Toxicant default guideline values for aquatic ecosystem protection: Simazine in marine 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B38C" w14:textId="227DA3D2" w:rsidR="00630E63" w:rsidRDefault="006D2E01">
    <w:pPr>
      <w:pStyle w:val="Header"/>
    </w:pPr>
    <w:r>
      <w:rPr>
        <w:noProof/>
      </w:rPr>
      <w:pict w14:anchorId="0FAAB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5" o:spid="_x0000_s1034" type="#_x0000_t136" style="position:absolute;left:0;text-align:left;margin-left:0;margin-top:0;width:399.6pt;height:239.75pt;rotation:315;z-index:-251613160;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rPr>
      <mc:AlternateContent>
        <mc:Choice Requires="wps">
          <w:drawing>
            <wp:anchor distT="0" distB="0" distL="0" distR="0" simplePos="0" relativeHeight="251658249" behindDoc="0" locked="0" layoutInCell="1" allowOverlap="1" wp14:anchorId="1B9A75F4" wp14:editId="0293660E">
              <wp:simplePos x="635" y="635"/>
              <wp:positionH relativeFrom="page">
                <wp:align>center</wp:align>
              </wp:positionH>
              <wp:positionV relativeFrom="page">
                <wp:align>top</wp:align>
              </wp:positionV>
              <wp:extent cx="551815" cy="404495"/>
              <wp:effectExtent l="0" t="0" r="635" b="14605"/>
              <wp:wrapNone/>
              <wp:docPr id="131902632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DBE027" w14:textId="1932EB4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A75F4" id="_x0000_t202" coordsize="21600,21600" o:spt="202" path="m,l,21600r21600,l21600,xe">
              <v:stroke joinstyle="miter"/>
              <v:path gradientshapeok="t" o:connecttype="rect"/>
            </v:shapetype>
            <v:shape id="Text Box 10" o:spid="_x0000_s1036"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07DBE027" w14:textId="1932EB46"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935" w14:textId="1EA8B57F" w:rsidR="00DD6A0B" w:rsidRDefault="006D2E01">
    <w:pPr>
      <w:pStyle w:val="Header"/>
    </w:pPr>
    <w:r>
      <w:rPr>
        <w:noProof/>
      </w:rPr>
      <w:pict w14:anchorId="7C6A8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08" o:spid="_x0000_s1027" type="#_x0000_t136" style="position:absolute;left:0;text-align:left;margin-left:0;margin-top:0;width:399.6pt;height:239.75pt;rotation:315;z-index:-251627496;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62360" behindDoc="0" locked="0" layoutInCell="1" allowOverlap="1" wp14:anchorId="6218A5AC" wp14:editId="5B53158D">
              <wp:simplePos x="0" y="0"/>
              <wp:positionH relativeFrom="margin">
                <wp:align>center</wp:align>
              </wp:positionH>
              <wp:positionV relativeFrom="page">
                <wp:align>top</wp:align>
              </wp:positionV>
              <wp:extent cx="551815" cy="404495"/>
              <wp:effectExtent l="0" t="0" r="635" b="14605"/>
              <wp:wrapNone/>
              <wp:docPr id="9701195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4F8A9A"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A5AC" id="_x0000_t202" coordsize="21600,21600" o:spt="202" path="m,l,21600r21600,l21600,xe">
              <v:stroke joinstyle="miter"/>
              <v:path gradientshapeok="t" o:connecttype="rect"/>
            </v:shapetype>
            <v:shape id="Text Box 1" o:spid="_x0000_s1027" type="#_x0000_t202" alt="OFFICIAL" style="position:absolute;left:0;text-align:left;margin-left:0;margin-top:0;width:43.45pt;height:31.85pt;z-index:251662360;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24F8A9A"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t xml:space="preserve">Toxicant default guideline values for aquatic ecosystem protection: </w:t>
    </w:r>
    <w:r w:rsidR="00D46117">
      <w:t>Simazine</w:t>
    </w:r>
    <w:r w:rsidR="00DD6A0B">
      <w:t xml:space="preserve">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3671" w14:textId="5EE060FC" w:rsidR="00DD6A0B" w:rsidRDefault="006D2E01">
    <w:pPr>
      <w:pStyle w:val="Header"/>
    </w:pPr>
    <w:r>
      <w:rPr>
        <w:noProof/>
      </w:rPr>
      <w:pict w14:anchorId="7C9E4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06" o:spid="_x0000_s1025" type="#_x0000_t136" style="position:absolute;left:0;text-align:left;margin-left:0;margin-top:0;width:399.6pt;height:239.75pt;rotation:315;z-index:-251631592;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66456" behindDoc="0" locked="0" layoutInCell="1" allowOverlap="1" wp14:anchorId="1C380FBA" wp14:editId="25DEEF08">
              <wp:simplePos x="0" y="0"/>
              <wp:positionH relativeFrom="margin">
                <wp:align>center</wp:align>
              </wp:positionH>
              <wp:positionV relativeFrom="page">
                <wp:posOffset>161637</wp:posOffset>
              </wp:positionV>
              <wp:extent cx="551815" cy="404495"/>
              <wp:effectExtent l="0" t="0" r="635" b="14605"/>
              <wp:wrapNone/>
              <wp:docPr id="1751943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6F4D6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380FBA" id="_x0000_t202" coordsize="21600,21600" o:spt="202" path="m,l,21600r21600,l21600,xe">
              <v:stroke joinstyle="miter"/>
              <v:path gradientshapeok="t" o:connecttype="rect"/>
            </v:shapetype>
            <v:shape id="_x0000_s1030" type="#_x0000_t202" alt="OFFICIAL" style="position:absolute;left:0;text-align:left;margin-left:0;margin-top:12.75pt;width:43.45pt;height:31.85pt;z-index:251666456;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" filled="f" stroked="f">
              <v:textbox style="mso-fit-shape-to-text:t" inset="0,15pt,0,0">
                <w:txbxContent>
                  <w:p w14:paraId="4D6F4D6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rPr>
        <w:noProof/>
        <w:lang w:eastAsia="en-AU"/>
      </w:rPr>
      <w:drawing>
        <wp:anchor distT="0" distB="0" distL="114300" distR="114300" simplePos="0" relativeHeight="251658240" behindDoc="1" locked="0" layoutInCell="1" allowOverlap="1" wp14:anchorId="3B3AB162" wp14:editId="5227ABC7">
          <wp:simplePos x="0" y="0"/>
          <wp:positionH relativeFrom="page">
            <wp:align>left</wp:align>
          </wp:positionH>
          <wp:positionV relativeFrom="paragraph">
            <wp:posOffset>-365851</wp:posOffset>
          </wp:positionV>
          <wp:extent cx="7556977" cy="10688400"/>
          <wp:effectExtent l="0" t="0" r="0" b="5080"/>
          <wp:wrapNone/>
          <wp:docPr id="837700602" name="Picture 83770060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8521" w14:textId="583FAC12" w:rsidR="00DD6A0B" w:rsidRDefault="006D2E01">
    <w:pPr>
      <w:pStyle w:val="Header"/>
    </w:pPr>
    <w:r>
      <w:rPr>
        <w:noProof/>
      </w:rPr>
      <w:pict w14:anchorId="53A41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0" o:spid="_x0000_s1029" type="#_x0000_t136" style="position:absolute;left:0;text-align:left;margin-left:0;margin-top:0;width:399.6pt;height:239.75pt;rotation:315;z-index:-251623400;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rPr>
      <mc:AlternateContent>
        <mc:Choice Requires="wps">
          <w:drawing>
            <wp:anchor distT="0" distB="0" distL="0" distR="0" simplePos="0" relativeHeight="251658244" behindDoc="0" locked="0" layoutInCell="1" allowOverlap="1" wp14:anchorId="2017CA2D" wp14:editId="684573B4">
              <wp:simplePos x="635" y="635"/>
              <wp:positionH relativeFrom="page">
                <wp:align>center</wp:align>
              </wp:positionH>
              <wp:positionV relativeFrom="page">
                <wp:align>top</wp:align>
              </wp:positionV>
              <wp:extent cx="551815" cy="404495"/>
              <wp:effectExtent l="0" t="0" r="635" b="14605"/>
              <wp:wrapNone/>
              <wp:docPr id="11368931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F8A1CC" w14:textId="6563C7D4"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7CA2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28F8A1CC" w14:textId="6563C7D4"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03DF" w14:textId="61782B18" w:rsidR="00D46117" w:rsidRDefault="006D2E01" w:rsidP="00D46117">
    <w:pPr>
      <w:pStyle w:val="Header"/>
    </w:pPr>
    <w:r>
      <w:rPr>
        <w:noProof/>
      </w:rPr>
      <w:pict w14:anchorId="56E31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1" o:spid="_x0000_s1030" type="#_x0000_t136" style="position:absolute;left:0;text-align:left;margin-left:0;margin-top:0;width:399.6pt;height:239.75pt;rotation:315;z-index:-251621352;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72600" behindDoc="0" locked="0" layoutInCell="1" allowOverlap="1" wp14:anchorId="38DB35F7" wp14:editId="294FCD3A">
              <wp:simplePos x="0" y="0"/>
              <wp:positionH relativeFrom="margin">
                <wp:align>center</wp:align>
              </wp:positionH>
              <wp:positionV relativeFrom="page">
                <wp:posOffset>14988</wp:posOffset>
              </wp:positionV>
              <wp:extent cx="551815" cy="404495"/>
              <wp:effectExtent l="0" t="0" r="635" b="14605"/>
              <wp:wrapNone/>
              <wp:docPr id="20176308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17747A"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DB35F7" id="_x0000_t202" coordsize="21600,21600" o:spt="202" path="m,l,21600r21600,l21600,xe">
              <v:stroke joinstyle="miter"/>
              <v:path gradientshapeok="t" o:connecttype="rect"/>
            </v:shapetype>
            <v:shape id="_x0000_s1033" type="#_x0000_t202" alt="OFFICIAL" style="position:absolute;left:0;text-align:left;margin-left:0;margin-top:1.2pt;width:43.45pt;height:31.85pt;z-index:25167260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" filled="f" stroked="f">
              <v:textbox style="mso-fit-shape-to-text:t" inset="0,15pt,0,0">
                <w:txbxContent>
                  <w:p w14:paraId="5617747A"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46117">
      <w:t>Toxicant default guideline values for aquatic ecosystem protection: Simazine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1163" w14:textId="0CE41D46" w:rsidR="00DD6A0B" w:rsidRPr="00D46117" w:rsidRDefault="006D2E01" w:rsidP="00D46117">
    <w:pPr>
      <w:pStyle w:val="Header"/>
    </w:pPr>
    <w:r>
      <w:rPr>
        <w:noProof/>
      </w:rPr>
      <w:pict w14:anchorId="7EF15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09" o:spid="_x0000_s1028" type="#_x0000_t136" style="position:absolute;left:0;text-align:left;margin-left:0;margin-top:0;width:399.6pt;height:239.75pt;rotation:315;z-index:-251625448;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68504" behindDoc="0" locked="0" layoutInCell="1" allowOverlap="1" wp14:anchorId="3A5371A1" wp14:editId="34301C04">
              <wp:simplePos x="0" y="0"/>
              <wp:positionH relativeFrom="margin">
                <wp:align>center</wp:align>
              </wp:positionH>
              <wp:positionV relativeFrom="page">
                <wp:posOffset>14988</wp:posOffset>
              </wp:positionV>
              <wp:extent cx="551815" cy="404495"/>
              <wp:effectExtent l="0" t="0" r="635" b="14605"/>
              <wp:wrapNone/>
              <wp:docPr id="3390163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84D3C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371A1" id="_x0000_t202" coordsize="21600,21600" o:spt="202" path="m,l,21600r21600,l21600,xe">
              <v:stroke joinstyle="miter"/>
              <v:path gradientshapeok="t" o:connecttype="rect"/>
            </v:shapetype>
            <v:shape id="_x0000_s1036" type="#_x0000_t202" alt="OFFICIAL" style="position:absolute;left:0;text-align:left;margin-left:0;margin-top:1.2pt;width:43.45pt;height:31.85pt;z-index:25166850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" filled="f" stroked="f">
              <v:textbox style="mso-fit-shape-to-text:t" inset="0,15pt,0,0">
                <w:txbxContent>
                  <w:p w14:paraId="7484D3C1"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46117">
      <w:t>Toxicant default guideline values for aquatic ecosystem protection: Simazine in marine 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AFAE" w14:textId="2E5F8B20" w:rsidR="00DD6A0B" w:rsidRDefault="006D2E01">
    <w:pPr>
      <w:pStyle w:val="Header"/>
    </w:pPr>
    <w:r>
      <w:rPr>
        <w:noProof/>
      </w:rPr>
      <w:pict w14:anchorId="49A3D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3" o:spid="_x0000_s1032" type="#_x0000_t136" style="position:absolute;left:0;text-align:left;margin-left:0;margin-top:0;width:399.6pt;height:239.75pt;rotation:315;z-index:-251617256;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rPr>
      <mc:AlternateContent>
        <mc:Choice Requires="wps">
          <w:drawing>
            <wp:anchor distT="0" distB="0" distL="0" distR="0" simplePos="0" relativeHeight="251658247" behindDoc="0" locked="0" layoutInCell="1" allowOverlap="1" wp14:anchorId="0BA900D0" wp14:editId="66DE4397">
              <wp:simplePos x="635" y="635"/>
              <wp:positionH relativeFrom="page">
                <wp:align>center</wp:align>
              </wp:positionH>
              <wp:positionV relativeFrom="page">
                <wp:align>top</wp:align>
              </wp:positionV>
              <wp:extent cx="551815" cy="404495"/>
              <wp:effectExtent l="0" t="0" r="635" b="14605"/>
              <wp:wrapNone/>
              <wp:docPr id="61406985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840482" w14:textId="72ADD5A7"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A900D0" id="_x0000_t202" coordsize="21600,21600" o:spt="202" path="m,l,21600r21600,l21600,xe">
              <v:stroke joinstyle="miter"/>
              <v:path gradientshapeok="t" o:connecttype="rect"/>
            </v:shapetype>
            <v:shape id="Text Box 8" o:spid="_x0000_s1030"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B840482" w14:textId="72ADD5A7"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AE31" w14:textId="58474CC4" w:rsidR="00D46117" w:rsidRDefault="006D2E01" w:rsidP="00D46117">
    <w:pPr>
      <w:pStyle w:val="Header"/>
    </w:pPr>
    <w:r>
      <w:rPr>
        <w:noProof/>
      </w:rPr>
      <w:pict w14:anchorId="0E7FC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4" o:spid="_x0000_s1033" type="#_x0000_t136" style="position:absolute;left:0;text-align:left;margin-left:0;margin-top:0;width:399.6pt;height:239.75pt;rotation:315;z-index:-251615208;mso-position-horizontal:center;mso-position-horizontal-relative:margin;mso-position-vertical:center;mso-position-vertical-relative:margin" o:allowincell="f" fillcolor="silver" stroked="f">
          <v:fill opacity=".5"/>
          <v:textpath style="font-family:&quot;Calibri&quot;;font-size:1pt" string="DRAFT"/>
        </v:shape>
      </w:pict>
    </w:r>
    <w:r>
      <w:rPr>
        <w:noProof/>
      </w:rPr>
      <mc:AlternateContent>
        <mc:Choice Requires="wps">
          <w:drawing>
            <wp:anchor distT="0" distB="0" distL="0" distR="0" simplePos="0" relativeHeight="251676696" behindDoc="0" locked="0" layoutInCell="1" allowOverlap="1" wp14:anchorId="0101EE8B" wp14:editId="1F509741">
              <wp:simplePos x="0" y="0"/>
              <wp:positionH relativeFrom="margin">
                <wp:align>center</wp:align>
              </wp:positionH>
              <wp:positionV relativeFrom="page">
                <wp:posOffset>14988</wp:posOffset>
              </wp:positionV>
              <wp:extent cx="551815" cy="404495"/>
              <wp:effectExtent l="0" t="0" r="635" b="14605"/>
              <wp:wrapNone/>
              <wp:docPr id="4206427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21C289"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01EE8B" id="_x0000_t202" coordsize="21600,21600" o:spt="202" path="m,l,21600r21600,l21600,xe">
              <v:stroke joinstyle="miter"/>
              <v:path gradientshapeok="t" o:connecttype="rect"/>
            </v:shapetype>
            <v:shape id="_x0000_s1039" type="#_x0000_t202" alt="OFFICIAL" style="position:absolute;left:0;text-align:left;margin-left:0;margin-top:1.2pt;width:43.45pt;height:31.85pt;z-index:251676696;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GjDgIAAB0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" filled="f" stroked="f">
              <v:textbox style="mso-fit-shape-to-text:t" inset="0,15pt,0,0">
                <w:txbxContent>
                  <w:p w14:paraId="4421C289" w14:textId="77777777" w:rsidR="006D2E01" w:rsidRPr="001B6CFF" w:rsidRDefault="006D2E01" w:rsidP="006D2E01">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46117">
      <w:t>Toxicant default guideline values for aquatic ecosystem protection: Simazine in marine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E6E5" w14:textId="24AA3137" w:rsidR="00DD6A0B" w:rsidRDefault="006D2E01">
    <w:pPr>
      <w:pStyle w:val="Header"/>
    </w:pPr>
    <w:r>
      <w:rPr>
        <w:noProof/>
      </w:rPr>
      <w:pict w14:anchorId="16BB2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2412" o:spid="_x0000_s1031" type="#_x0000_t136" style="position:absolute;left:0;text-align:left;margin-left:0;margin-top:0;width:399.6pt;height:239.75pt;rotation:315;z-index:-251619304;mso-position-horizontal:center;mso-position-horizontal-relative:margin;mso-position-vertical:center;mso-position-vertical-relative:margin" o:allowincell="f" fillcolor="silver" stroked="f">
          <v:fill opacity=".5"/>
          <v:textpath style="font-family:&quot;Calibri&quot;;font-size:1pt" string="DRAFT"/>
        </v:shape>
      </w:pict>
    </w:r>
    <w:r w:rsidR="009873B3">
      <w:rPr>
        <w:noProof/>
      </w:rPr>
      <mc:AlternateContent>
        <mc:Choice Requires="wps">
          <w:drawing>
            <wp:anchor distT="0" distB="0" distL="0" distR="0" simplePos="0" relativeHeight="251658246" behindDoc="0" locked="0" layoutInCell="1" allowOverlap="1" wp14:anchorId="71714DEC" wp14:editId="524E51FE">
              <wp:simplePos x="635" y="635"/>
              <wp:positionH relativeFrom="page">
                <wp:align>center</wp:align>
              </wp:positionH>
              <wp:positionV relativeFrom="page">
                <wp:align>top</wp:align>
              </wp:positionV>
              <wp:extent cx="551815" cy="404495"/>
              <wp:effectExtent l="0" t="0" r="635" b="14605"/>
              <wp:wrapNone/>
              <wp:docPr id="186959051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7CF1DC" w14:textId="715766B3"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714DEC" id="_x0000_t202" coordsize="21600,21600" o:spt="202" path="m,l,21600r21600,l21600,xe">
              <v:stroke joinstyle="miter"/>
              <v:path gradientshapeok="t" o:connecttype="rect"/>
            </v:shapetype>
            <v:shape id="Text Box 7" o:spid="_x0000_s1032"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417CF1DC" w14:textId="715766B3" w:rsidR="009873B3" w:rsidRPr="009873B3" w:rsidRDefault="009873B3" w:rsidP="009873B3">
                    <w:pPr>
                      <w:spacing w:after="0"/>
                      <w:rPr>
                        <w:rFonts w:ascii="Calibri" w:eastAsia="Calibri" w:hAnsi="Calibri" w:cs="Calibri"/>
                        <w:noProof/>
                        <w:color w:val="FF0000"/>
                        <w:sz w:val="24"/>
                        <w:szCs w:val="24"/>
                      </w:rPr>
                    </w:pPr>
                    <w:r w:rsidRPr="009873B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81"/>
    <w:multiLevelType w:val="hybridMultilevel"/>
    <w:tmpl w:val="3A0EAECE"/>
    <w:lvl w:ilvl="0" w:tplc="38AA61AA">
      <w:start w:val="1"/>
      <w:numFmt w:val="lowerRoman"/>
      <w:lvlText w:val="(%1)"/>
      <w:lvlJc w:val="left"/>
      <w:pPr>
        <w:ind w:left="1080" w:hanging="72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06F79"/>
    <w:multiLevelType w:val="hybridMultilevel"/>
    <w:tmpl w:val="683A0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3"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5" w15:restartNumberingAfterBreak="0">
    <w:nsid w:val="17FA091E"/>
    <w:multiLevelType w:val="multilevel"/>
    <w:tmpl w:val="757ED760"/>
    <w:numStyleLink w:val="Style1"/>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3399E"/>
    <w:multiLevelType w:val="multilevel"/>
    <w:tmpl w:val="88964F4C"/>
    <w:numStyleLink w:val="heading"/>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D595B46"/>
    <w:multiLevelType w:val="multilevel"/>
    <w:tmpl w:val="C32AB9AA"/>
    <w:numStyleLink w:val="ListNumber1"/>
  </w:abstractNum>
  <w:abstractNum w:abstractNumId="10"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6D54222"/>
    <w:multiLevelType w:val="multilevel"/>
    <w:tmpl w:val="757ED760"/>
    <w:numStyleLink w:val="Style1"/>
  </w:abstractNum>
  <w:abstractNum w:abstractNumId="12"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2930D63"/>
    <w:multiLevelType w:val="hybridMultilevel"/>
    <w:tmpl w:val="E3BA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6B3E7885"/>
    <w:multiLevelType w:val="hybridMultilevel"/>
    <w:tmpl w:val="E0BAF096"/>
    <w:lvl w:ilvl="0" w:tplc="1A688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6387C"/>
    <w:multiLevelType w:val="multilevel"/>
    <w:tmpl w:val="6346ED0E"/>
    <w:numStyleLink w:val="listbullets"/>
  </w:abstractNum>
  <w:num w:numId="1" w16cid:durableId="350499507">
    <w:abstractNumId w:val="14"/>
  </w:num>
  <w:num w:numId="2" w16cid:durableId="902565807">
    <w:abstractNumId w:val="6"/>
  </w:num>
  <w:num w:numId="3" w16cid:durableId="1085884644">
    <w:abstractNumId w:val="17"/>
  </w:num>
  <w:num w:numId="4" w16cid:durableId="1802189746">
    <w:abstractNumId w:val="8"/>
  </w:num>
  <w:num w:numId="5" w16cid:durableId="460269895">
    <w:abstractNumId w:val="10"/>
  </w:num>
  <w:num w:numId="6" w16cid:durableId="164632700">
    <w:abstractNumId w:val="15"/>
  </w:num>
  <w:num w:numId="7" w16cid:durableId="438841049">
    <w:abstractNumId w:val="19"/>
  </w:num>
  <w:num w:numId="8" w16cid:durableId="2070612459">
    <w:abstractNumId w:val="13"/>
  </w:num>
  <w:num w:numId="9" w16cid:durableId="26951757">
    <w:abstractNumId w:val="9"/>
  </w:num>
  <w:num w:numId="10" w16cid:durableId="2048411782">
    <w:abstractNumId w:val="3"/>
  </w:num>
  <w:num w:numId="11" w16cid:durableId="1524856950">
    <w:abstractNumId w:val="7"/>
  </w:num>
  <w:num w:numId="12" w16cid:durableId="132646561">
    <w:abstractNumId w:val="12"/>
  </w:num>
  <w:num w:numId="13" w16cid:durableId="326791831">
    <w:abstractNumId w:val="4"/>
  </w:num>
  <w:num w:numId="14" w16cid:durableId="1869948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683653">
    <w:abstractNumId w:val="11"/>
  </w:num>
  <w:num w:numId="16" w16cid:durableId="1238394925">
    <w:abstractNumId w:val="5"/>
  </w:num>
  <w:num w:numId="17" w16cid:durableId="1438868790">
    <w:abstractNumId w:val="5"/>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730857784">
    <w:abstractNumId w:val="1"/>
  </w:num>
  <w:num w:numId="19" w16cid:durableId="279577638">
    <w:abstractNumId w:val="0"/>
  </w:num>
  <w:num w:numId="20" w16cid:durableId="32971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868403">
    <w:abstractNumId w:val="18"/>
  </w:num>
  <w:num w:numId="22" w16cid:durableId="1126583100">
    <w:abstractNumId w:val="16"/>
  </w:num>
  <w:num w:numId="23" w16cid:durableId="19197114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113"/>
    <w:rsid w:val="00001114"/>
    <w:rsid w:val="0000135A"/>
    <w:rsid w:val="00001435"/>
    <w:rsid w:val="0000176A"/>
    <w:rsid w:val="00001FC9"/>
    <w:rsid w:val="000056AE"/>
    <w:rsid w:val="00005AD7"/>
    <w:rsid w:val="0000792B"/>
    <w:rsid w:val="0001231B"/>
    <w:rsid w:val="00012506"/>
    <w:rsid w:val="00013C5F"/>
    <w:rsid w:val="00016033"/>
    <w:rsid w:val="00016223"/>
    <w:rsid w:val="000207B3"/>
    <w:rsid w:val="0002188A"/>
    <w:rsid w:val="00025328"/>
    <w:rsid w:val="00026E1D"/>
    <w:rsid w:val="00027976"/>
    <w:rsid w:val="000303B8"/>
    <w:rsid w:val="0003671F"/>
    <w:rsid w:val="00036F68"/>
    <w:rsid w:val="00044D7A"/>
    <w:rsid w:val="000474F2"/>
    <w:rsid w:val="00047E4C"/>
    <w:rsid w:val="00051AD7"/>
    <w:rsid w:val="000532AC"/>
    <w:rsid w:val="0005345C"/>
    <w:rsid w:val="00053EBF"/>
    <w:rsid w:val="000542D9"/>
    <w:rsid w:val="0005458A"/>
    <w:rsid w:val="00057242"/>
    <w:rsid w:val="00057362"/>
    <w:rsid w:val="000577C0"/>
    <w:rsid w:val="00061882"/>
    <w:rsid w:val="00061D55"/>
    <w:rsid w:val="00062058"/>
    <w:rsid w:val="000666BC"/>
    <w:rsid w:val="0006713C"/>
    <w:rsid w:val="00067914"/>
    <w:rsid w:val="000713B1"/>
    <w:rsid w:val="00071974"/>
    <w:rsid w:val="000734F1"/>
    <w:rsid w:val="00073850"/>
    <w:rsid w:val="0007417C"/>
    <w:rsid w:val="000756BD"/>
    <w:rsid w:val="000757DE"/>
    <w:rsid w:val="00076141"/>
    <w:rsid w:val="000766B7"/>
    <w:rsid w:val="00076A96"/>
    <w:rsid w:val="00076F11"/>
    <w:rsid w:val="000771F9"/>
    <w:rsid w:val="00080CB3"/>
    <w:rsid w:val="000812FA"/>
    <w:rsid w:val="000815B0"/>
    <w:rsid w:val="00083463"/>
    <w:rsid w:val="00084208"/>
    <w:rsid w:val="00084A14"/>
    <w:rsid w:val="000863DF"/>
    <w:rsid w:val="0008776C"/>
    <w:rsid w:val="00090AD0"/>
    <w:rsid w:val="00091DEB"/>
    <w:rsid w:val="000931E1"/>
    <w:rsid w:val="00093238"/>
    <w:rsid w:val="000934A8"/>
    <w:rsid w:val="00094B18"/>
    <w:rsid w:val="00097223"/>
    <w:rsid w:val="000A00C5"/>
    <w:rsid w:val="000A09DB"/>
    <w:rsid w:val="000A0A18"/>
    <w:rsid w:val="000A1B36"/>
    <w:rsid w:val="000A2E71"/>
    <w:rsid w:val="000A39EE"/>
    <w:rsid w:val="000A5631"/>
    <w:rsid w:val="000A5780"/>
    <w:rsid w:val="000A5D98"/>
    <w:rsid w:val="000A68FE"/>
    <w:rsid w:val="000B05BE"/>
    <w:rsid w:val="000B0AE0"/>
    <w:rsid w:val="000B0ECE"/>
    <w:rsid w:val="000B26DA"/>
    <w:rsid w:val="000B2C6B"/>
    <w:rsid w:val="000B57C9"/>
    <w:rsid w:val="000B5875"/>
    <w:rsid w:val="000B5A01"/>
    <w:rsid w:val="000B702A"/>
    <w:rsid w:val="000B718D"/>
    <w:rsid w:val="000C0D06"/>
    <w:rsid w:val="000C2212"/>
    <w:rsid w:val="000C2CC0"/>
    <w:rsid w:val="000C38C0"/>
    <w:rsid w:val="000C583A"/>
    <w:rsid w:val="000C5C1D"/>
    <w:rsid w:val="000C76D8"/>
    <w:rsid w:val="000D0D5E"/>
    <w:rsid w:val="000D244B"/>
    <w:rsid w:val="000D4D9A"/>
    <w:rsid w:val="000D4EE3"/>
    <w:rsid w:val="000D58B8"/>
    <w:rsid w:val="000D7441"/>
    <w:rsid w:val="000D7599"/>
    <w:rsid w:val="000D7AE5"/>
    <w:rsid w:val="000D7E30"/>
    <w:rsid w:val="000D7F01"/>
    <w:rsid w:val="000E0052"/>
    <w:rsid w:val="000E02BA"/>
    <w:rsid w:val="000E1094"/>
    <w:rsid w:val="000E3054"/>
    <w:rsid w:val="000E40C1"/>
    <w:rsid w:val="000E52A2"/>
    <w:rsid w:val="000E59C7"/>
    <w:rsid w:val="000E6B89"/>
    <w:rsid w:val="000F05FE"/>
    <w:rsid w:val="000F0E2E"/>
    <w:rsid w:val="000F0ED5"/>
    <w:rsid w:val="000F1332"/>
    <w:rsid w:val="000F1EAC"/>
    <w:rsid w:val="000F50EF"/>
    <w:rsid w:val="000F5437"/>
    <w:rsid w:val="000F58E8"/>
    <w:rsid w:val="000F5EEE"/>
    <w:rsid w:val="000F79A9"/>
    <w:rsid w:val="00100146"/>
    <w:rsid w:val="00101661"/>
    <w:rsid w:val="001048B0"/>
    <w:rsid w:val="0010499E"/>
    <w:rsid w:val="001119B5"/>
    <w:rsid w:val="00111E49"/>
    <w:rsid w:val="001147F2"/>
    <w:rsid w:val="001155E7"/>
    <w:rsid w:val="0011643D"/>
    <w:rsid w:val="001169EF"/>
    <w:rsid w:val="00117317"/>
    <w:rsid w:val="00121284"/>
    <w:rsid w:val="00121365"/>
    <w:rsid w:val="00123197"/>
    <w:rsid w:val="00123421"/>
    <w:rsid w:val="001237C4"/>
    <w:rsid w:val="00124983"/>
    <w:rsid w:val="001256C6"/>
    <w:rsid w:val="00125FE3"/>
    <w:rsid w:val="001277A6"/>
    <w:rsid w:val="001278DA"/>
    <w:rsid w:val="00127BF8"/>
    <w:rsid w:val="001303C0"/>
    <w:rsid w:val="00131E8B"/>
    <w:rsid w:val="00132715"/>
    <w:rsid w:val="00132B7D"/>
    <w:rsid w:val="00132C23"/>
    <w:rsid w:val="0013446C"/>
    <w:rsid w:val="00137373"/>
    <w:rsid w:val="00140442"/>
    <w:rsid w:val="001404BE"/>
    <w:rsid w:val="00140E2C"/>
    <w:rsid w:val="00141050"/>
    <w:rsid w:val="001419A7"/>
    <w:rsid w:val="00141B8A"/>
    <w:rsid w:val="00142DCA"/>
    <w:rsid w:val="001453D8"/>
    <w:rsid w:val="00145C0F"/>
    <w:rsid w:val="00151A55"/>
    <w:rsid w:val="00152533"/>
    <w:rsid w:val="00154057"/>
    <w:rsid w:val="0015438B"/>
    <w:rsid w:val="00157DD0"/>
    <w:rsid w:val="0016041F"/>
    <w:rsid w:val="0016120A"/>
    <w:rsid w:val="001626F9"/>
    <w:rsid w:val="0016290F"/>
    <w:rsid w:val="00162C0A"/>
    <w:rsid w:val="00163E7D"/>
    <w:rsid w:val="001673BC"/>
    <w:rsid w:val="0016777B"/>
    <w:rsid w:val="001729B3"/>
    <w:rsid w:val="00173951"/>
    <w:rsid w:val="001740B1"/>
    <w:rsid w:val="00174364"/>
    <w:rsid w:val="00175F9A"/>
    <w:rsid w:val="00175FCC"/>
    <w:rsid w:val="00176425"/>
    <w:rsid w:val="00177807"/>
    <w:rsid w:val="0018001A"/>
    <w:rsid w:val="001805ED"/>
    <w:rsid w:val="00182B50"/>
    <w:rsid w:val="00182FF2"/>
    <w:rsid w:val="0018440B"/>
    <w:rsid w:val="00184D51"/>
    <w:rsid w:val="00186AFC"/>
    <w:rsid w:val="001874E3"/>
    <w:rsid w:val="0019020A"/>
    <w:rsid w:val="001914A0"/>
    <w:rsid w:val="00191A24"/>
    <w:rsid w:val="00191E95"/>
    <w:rsid w:val="00192B1E"/>
    <w:rsid w:val="00193087"/>
    <w:rsid w:val="00197849"/>
    <w:rsid w:val="001A00B0"/>
    <w:rsid w:val="001A1C81"/>
    <w:rsid w:val="001A34D1"/>
    <w:rsid w:val="001A451C"/>
    <w:rsid w:val="001A49FF"/>
    <w:rsid w:val="001A59DD"/>
    <w:rsid w:val="001A5D7A"/>
    <w:rsid w:val="001A614D"/>
    <w:rsid w:val="001B1DB2"/>
    <w:rsid w:val="001B1E6A"/>
    <w:rsid w:val="001B39E1"/>
    <w:rsid w:val="001B3DE5"/>
    <w:rsid w:val="001B40B8"/>
    <w:rsid w:val="001B45B6"/>
    <w:rsid w:val="001B5769"/>
    <w:rsid w:val="001B5D90"/>
    <w:rsid w:val="001B634C"/>
    <w:rsid w:val="001B67B7"/>
    <w:rsid w:val="001B6ADF"/>
    <w:rsid w:val="001B7EC2"/>
    <w:rsid w:val="001C0D1C"/>
    <w:rsid w:val="001C2B0E"/>
    <w:rsid w:val="001C4C06"/>
    <w:rsid w:val="001C57B6"/>
    <w:rsid w:val="001C6994"/>
    <w:rsid w:val="001C73B9"/>
    <w:rsid w:val="001D0718"/>
    <w:rsid w:val="001D1B69"/>
    <w:rsid w:val="001D37A9"/>
    <w:rsid w:val="001D3975"/>
    <w:rsid w:val="001D65A1"/>
    <w:rsid w:val="001D68E1"/>
    <w:rsid w:val="001D6948"/>
    <w:rsid w:val="001E055D"/>
    <w:rsid w:val="001E0626"/>
    <w:rsid w:val="001E13E2"/>
    <w:rsid w:val="001E4A58"/>
    <w:rsid w:val="001E62D7"/>
    <w:rsid w:val="001E71E0"/>
    <w:rsid w:val="001F06A9"/>
    <w:rsid w:val="001F0C52"/>
    <w:rsid w:val="001F2110"/>
    <w:rsid w:val="001F440F"/>
    <w:rsid w:val="001F5535"/>
    <w:rsid w:val="001F6A1E"/>
    <w:rsid w:val="001F6AC9"/>
    <w:rsid w:val="00200930"/>
    <w:rsid w:val="00200B0E"/>
    <w:rsid w:val="0020133F"/>
    <w:rsid w:val="00203A94"/>
    <w:rsid w:val="0020471A"/>
    <w:rsid w:val="00204F7E"/>
    <w:rsid w:val="00205DE4"/>
    <w:rsid w:val="002060ED"/>
    <w:rsid w:val="00206104"/>
    <w:rsid w:val="00206D3B"/>
    <w:rsid w:val="00206DEC"/>
    <w:rsid w:val="00207C67"/>
    <w:rsid w:val="00210303"/>
    <w:rsid w:val="00210608"/>
    <w:rsid w:val="00211761"/>
    <w:rsid w:val="00212BFF"/>
    <w:rsid w:val="00213820"/>
    <w:rsid w:val="00220F88"/>
    <w:rsid w:val="0022107C"/>
    <w:rsid w:val="002223A7"/>
    <w:rsid w:val="002256FF"/>
    <w:rsid w:val="0022654B"/>
    <w:rsid w:val="002301D5"/>
    <w:rsid w:val="002301F6"/>
    <w:rsid w:val="00231773"/>
    <w:rsid w:val="0023211A"/>
    <w:rsid w:val="0023213B"/>
    <w:rsid w:val="002321B7"/>
    <w:rsid w:val="0023324D"/>
    <w:rsid w:val="00234DFA"/>
    <w:rsid w:val="00235067"/>
    <w:rsid w:val="00235AAE"/>
    <w:rsid w:val="002408C4"/>
    <w:rsid w:val="00241C51"/>
    <w:rsid w:val="00241F40"/>
    <w:rsid w:val="0024444E"/>
    <w:rsid w:val="002462B0"/>
    <w:rsid w:val="0025009D"/>
    <w:rsid w:val="002507C3"/>
    <w:rsid w:val="00251576"/>
    <w:rsid w:val="00251D34"/>
    <w:rsid w:val="00251E37"/>
    <w:rsid w:val="00253E51"/>
    <w:rsid w:val="00256005"/>
    <w:rsid w:val="00256400"/>
    <w:rsid w:val="00256CF6"/>
    <w:rsid w:val="00257856"/>
    <w:rsid w:val="00257B8F"/>
    <w:rsid w:val="002611D2"/>
    <w:rsid w:val="00261C77"/>
    <w:rsid w:val="002626BA"/>
    <w:rsid w:val="00263E9A"/>
    <w:rsid w:val="002657AF"/>
    <w:rsid w:val="00265A2D"/>
    <w:rsid w:val="00266B1F"/>
    <w:rsid w:val="002674EA"/>
    <w:rsid w:val="0026789B"/>
    <w:rsid w:val="00270C77"/>
    <w:rsid w:val="00270D5F"/>
    <w:rsid w:val="00270EFF"/>
    <w:rsid w:val="002712C5"/>
    <w:rsid w:val="0027139F"/>
    <w:rsid w:val="002735C9"/>
    <w:rsid w:val="00273E17"/>
    <w:rsid w:val="00275443"/>
    <w:rsid w:val="00276924"/>
    <w:rsid w:val="002769EA"/>
    <w:rsid w:val="00277B53"/>
    <w:rsid w:val="00281437"/>
    <w:rsid w:val="00281A09"/>
    <w:rsid w:val="00282EBF"/>
    <w:rsid w:val="00283B1E"/>
    <w:rsid w:val="00286D7B"/>
    <w:rsid w:val="00290458"/>
    <w:rsid w:val="00290BD2"/>
    <w:rsid w:val="002911C1"/>
    <w:rsid w:val="00292EDE"/>
    <w:rsid w:val="002933E4"/>
    <w:rsid w:val="00293C44"/>
    <w:rsid w:val="00294E9C"/>
    <w:rsid w:val="0029625B"/>
    <w:rsid w:val="00296394"/>
    <w:rsid w:val="002A163D"/>
    <w:rsid w:val="002A3B69"/>
    <w:rsid w:val="002A3CE1"/>
    <w:rsid w:val="002A59ED"/>
    <w:rsid w:val="002A5C70"/>
    <w:rsid w:val="002A6919"/>
    <w:rsid w:val="002A7F17"/>
    <w:rsid w:val="002B03D6"/>
    <w:rsid w:val="002B2487"/>
    <w:rsid w:val="002B69D2"/>
    <w:rsid w:val="002C0748"/>
    <w:rsid w:val="002C1001"/>
    <w:rsid w:val="002C10E3"/>
    <w:rsid w:val="002C3625"/>
    <w:rsid w:val="002C38B5"/>
    <w:rsid w:val="002C3B55"/>
    <w:rsid w:val="002C4086"/>
    <w:rsid w:val="002C4DE9"/>
    <w:rsid w:val="002D1406"/>
    <w:rsid w:val="002D14EB"/>
    <w:rsid w:val="002D41D6"/>
    <w:rsid w:val="002D4EE6"/>
    <w:rsid w:val="002D5251"/>
    <w:rsid w:val="002D5AD7"/>
    <w:rsid w:val="002E0E71"/>
    <w:rsid w:val="002E24A6"/>
    <w:rsid w:val="002E2C3E"/>
    <w:rsid w:val="002E3BA5"/>
    <w:rsid w:val="002E500F"/>
    <w:rsid w:val="002E682E"/>
    <w:rsid w:val="002E72A1"/>
    <w:rsid w:val="002E74F2"/>
    <w:rsid w:val="002E79E3"/>
    <w:rsid w:val="002F1677"/>
    <w:rsid w:val="002F1AD5"/>
    <w:rsid w:val="002F39B0"/>
    <w:rsid w:val="002F7CBA"/>
    <w:rsid w:val="003007F4"/>
    <w:rsid w:val="0030198B"/>
    <w:rsid w:val="0030242F"/>
    <w:rsid w:val="003028C0"/>
    <w:rsid w:val="003036CB"/>
    <w:rsid w:val="00304008"/>
    <w:rsid w:val="003069E9"/>
    <w:rsid w:val="0031000A"/>
    <w:rsid w:val="00312AB0"/>
    <w:rsid w:val="003147D1"/>
    <w:rsid w:val="00314F08"/>
    <w:rsid w:val="00315BC1"/>
    <w:rsid w:val="00315FBC"/>
    <w:rsid w:val="00320401"/>
    <w:rsid w:val="00321BD8"/>
    <w:rsid w:val="0032252E"/>
    <w:rsid w:val="003232AD"/>
    <w:rsid w:val="0032374C"/>
    <w:rsid w:val="00323CAE"/>
    <w:rsid w:val="00325689"/>
    <w:rsid w:val="00325DB4"/>
    <w:rsid w:val="00325FC1"/>
    <w:rsid w:val="003279E0"/>
    <w:rsid w:val="0033014B"/>
    <w:rsid w:val="00330CD5"/>
    <w:rsid w:val="00330F42"/>
    <w:rsid w:val="00332931"/>
    <w:rsid w:val="0033607F"/>
    <w:rsid w:val="0034027F"/>
    <w:rsid w:val="00340381"/>
    <w:rsid w:val="003416E6"/>
    <w:rsid w:val="00342B00"/>
    <w:rsid w:val="00342D9C"/>
    <w:rsid w:val="00342DEF"/>
    <w:rsid w:val="00343147"/>
    <w:rsid w:val="00346DEA"/>
    <w:rsid w:val="00347099"/>
    <w:rsid w:val="00347BBB"/>
    <w:rsid w:val="003530D1"/>
    <w:rsid w:val="00353D6C"/>
    <w:rsid w:val="00356C22"/>
    <w:rsid w:val="00357A99"/>
    <w:rsid w:val="00357CE9"/>
    <w:rsid w:val="0036198F"/>
    <w:rsid w:val="00363C9F"/>
    <w:rsid w:val="003645E3"/>
    <w:rsid w:val="003663E0"/>
    <w:rsid w:val="00367621"/>
    <w:rsid w:val="00375F18"/>
    <w:rsid w:val="0037677A"/>
    <w:rsid w:val="00376D75"/>
    <w:rsid w:val="00377788"/>
    <w:rsid w:val="003778BB"/>
    <w:rsid w:val="00377EFB"/>
    <w:rsid w:val="00377F10"/>
    <w:rsid w:val="00380165"/>
    <w:rsid w:val="00380F89"/>
    <w:rsid w:val="003859C9"/>
    <w:rsid w:val="003875A2"/>
    <w:rsid w:val="003876F4"/>
    <w:rsid w:val="00390176"/>
    <w:rsid w:val="003908AC"/>
    <w:rsid w:val="00393867"/>
    <w:rsid w:val="00393DE2"/>
    <w:rsid w:val="00395788"/>
    <w:rsid w:val="00396AB8"/>
    <w:rsid w:val="00397F43"/>
    <w:rsid w:val="003A0820"/>
    <w:rsid w:val="003A1C81"/>
    <w:rsid w:val="003A43BA"/>
    <w:rsid w:val="003A59B2"/>
    <w:rsid w:val="003B17D4"/>
    <w:rsid w:val="003B2771"/>
    <w:rsid w:val="003B361B"/>
    <w:rsid w:val="003B6943"/>
    <w:rsid w:val="003C0381"/>
    <w:rsid w:val="003C4D43"/>
    <w:rsid w:val="003C4D87"/>
    <w:rsid w:val="003C6156"/>
    <w:rsid w:val="003C6163"/>
    <w:rsid w:val="003C77B3"/>
    <w:rsid w:val="003D0097"/>
    <w:rsid w:val="003D012B"/>
    <w:rsid w:val="003D02AA"/>
    <w:rsid w:val="003D0DCE"/>
    <w:rsid w:val="003D19EF"/>
    <w:rsid w:val="003D2047"/>
    <w:rsid w:val="003D2F6B"/>
    <w:rsid w:val="003D388A"/>
    <w:rsid w:val="003D4A96"/>
    <w:rsid w:val="003D685D"/>
    <w:rsid w:val="003D69BC"/>
    <w:rsid w:val="003D7798"/>
    <w:rsid w:val="003E0AC5"/>
    <w:rsid w:val="003F3FCA"/>
    <w:rsid w:val="003F48C2"/>
    <w:rsid w:val="003F552B"/>
    <w:rsid w:val="003F584E"/>
    <w:rsid w:val="003F5AB9"/>
    <w:rsid w:val="003F7AD3"/>
    <w:rsid w:val="00400F53"/>
    <w:rsid w:val="00401C43"/>
    <w:rsid w:val="00405CA1"/>
    <w:rsid w:val="0041010D"/>
    <w:rsid w:val="004101A0"/>
    <w:rsid w:val="00410CB7"/>
    <w:rsid w:val="00411EAC"/>
    <w:rsid w:val="00413514"/>
    <w:rsid w:val="00416990"/>
    <w:rsid w:val="00417BA8"/>
    <w:rsid w:val="00420A0A"/>
    <w:rsid w:val="004210FD"/>
    <w:rsid w:val="004213DF"/>
    <w:rsid w:val="004231F3"/>
    <w:rsid w:val="00425665"/>
    <w:rsid w:val="00426E82"/>
    <w:rsid w:val="004276FB"/>
    <w:rsid w:val="00431F31"/>
    <w:rsid w:val="004329C3"/>
    <w:rsid w:val="004337EB"/>
    <w:rsid w:val="0043501C"/>
    <w:rsid w:val="00435202"/>
    <w:rsid w:val="00435BDF"/>
    <w:rsid w:val="00435F22"/>
    <w:rsid w:val="004373AC"/>
    <w:rsid w:val="00437648"/>
    <w:rsid w:val="0044078A"/>
    <w:rsid w:val="0044113C"/>
    <w:rsid w:val="00441BB3"/>
    <w:rsid w:val="00441F61"/>
    <w:rsid w:val="00442275"/>
    <w:rsid w:val="00446750"/>
    <w:rsid w:val="00446B9A"/>
    <w:rsid w:val="004471EB"/>
    <w:rsid w:val="004526DF"/>
    <w:rsid w:val="00452E91"/>
    <w:rsid w:val="0045530E"/>
    <w:rsid w:val="00455880"/>
    <w:rsid w:val="004577D3"/>
    <w:rsid w:val="00460CB8"/>
    <w:rsid w:val="00462187"/>
    <w:rsid w:val="004640C1"/>
    <w:rsid w:val="00464962"/>
    <w:rsid w:val="00465948"/>
    <w:rsid w:val="0046659C"/>
    <w:rsid w:val="00466BD4"/>
    <w:rsid w:val="00466F9E"/>
    <w:rsid w:val="0046761D"/>
    <w:rsid w:val="00474612"/>
    <w:rsid w:val="00475781"/>
    <w:rsid w:val="00477F6E"/>
    <w:rsid w:val="004805FA"/>
    <w:rsid w:val="004824C4"/>
    <w:rsid w:val="00485196"/>
    <w:rsid w:val="00485B6C"/>
    <w:rsid w:val="0048619A"/>
    <w:rsid w:val="004925CA"/>
    <w:rsid w:val="0049481F"/>
    <w:rsid w:val="00494D9E"/>
    <w:rsid w:val="004958C4"/>
    <w:rsid w:val="004A07A9"/>
    <w:rsid w:val="004A0A08"/>
    <w:rsid w:val="004A3032"/>
    <w:rsid w:val="004A4DCC"/>
    <w:rsid w:val="004A5DBC"/>
    <w:rsid w:val="004A6408"/>
    <w:rsid w:val="004A72C9"/>
    <w:rsid w:val="004B3F96"/>
    <w:rsid w:val="004B4208"/>
    <w:rsid w:val="004B44C2"/>
    <w:rsid w:val="004B4A74"/>
    <w:rsid w:val="004B5D58"/>
    <w:rsid w:val="004B746D"/>
    <w:rsid w:val="004C0E6F"/>
    <w:rsid w:val="004C4EAE"/>
    <w:rsid w:val="004C752F"/>
    <w:rsid w:val="004D1349"/>
    <w:rsid w:val="004D13E4"/>
    <w:rsid w:val="004D2459"/>
    <w:rsid w:val="004D29CE"/>
    <w:rsid w:val="004D52CE"/>
    <w:rsid w:val="004D5D13"/>
    <w:rsid w:val="004D6AA3"/>
    <w:rsid w:val="004D6B39"/>
    <w:rsid w:val="004E02F0"/>
    <w:rsid w:val="004E03D0"/>
    <w:rsid w:val="004E2C90"/>
    <w:rsid w:val="004E3D6E"/>
    <w:rsid w:val="004E534E"/>
    <w:rsid w:val="004E7AB3"/>
    <w:rsid w:val="004E7E04"/>
    <w:rsid w:val="004F14DA"/>
    <w:rsid w:val="004F2FCD"/>
    <w:rsid w:val="004F600E"/>
    <w:rsid w:val="004F6114"/>
    <w:rsid w:val="004F6834"/>
    <w:rsid w:val="0050195B"/>
    <w:rsid w:val="00501C21"/>
    <w:rsid w:val="005025EA"/>
    <w:rsid w:val="0050296C"/>
    <w:rsid w:val="005055C5"/>
    <w:rsid w:val="005067F8"/>
    <w:rsid w:val="005100F3"/>
    <w:rsid w:val="005117BA"/>
    <w:rsid w:val="00512B1D"/>
    <w:rsid w:val="00514F8D"/>
    <w:rsid w:val="00516725"/>
    <w:rsid w:val="00516A4E"/>
    <w:rsid w:val="00517D00"/>
    <w:rsid w:val="00520147"/>
    <w:rsid w:val="00522145"/>
    <w:rsid w:val="00522885"/>
    <w:rsid w:val="00522EF7"/>
    <w:rsid w:val="00523E52"/>
    <w:rsid w:val="00524407"/>
    <w:rsid w:val="00525D85"/>
    <w:rsid w:val="00526562"/>
    <w:rsid w:val="00526929"/>
    <w:rsid w:val="005270C1"/>
    <w:rsid w:val="00527F7E"/>
    <w:rsid w:val="0053068D"/>
    <w:rsid w:val="00531A43"/>
    <w:rsid w:val="005321F1"/>
    <w:rsid w:val="00533032"/>
    <w:rsid w:val="005347DF"/>
    <w:rsid w:val="005352E8"/>
    <w:rsid w:val="00535797"/>
    <w:rsid w:val="005361C1"/>
    <w:rsid w:val="00536D46"/>
    <w:rsid w:val="00536E88"/>
    <w:rsid w:val="00536E9A"/>
    <w:rsid w:val="00537EA4"/>
    <w:rsid w:val="005405A8"/>
    <w:rsid w:val="00541AC3"/>
    <w:rsid w:val="005431C6"/>
    <w:rsid w:val="005439A6"/>
    <w:rsid w:val="0054464A"/>
    <w:rsid w:val="0054665F"/>
    <w:rsid w:val="0055377C"/>
    <w:rsid w:val="00553B3E"/>
    <w:rsid w:val="005565D0"/>
    <w:rsid w:val="00557258"/>
    <w:rsid w:val="005601AD"/>
    <w:rsid w:val="00561934"/>
    <w:rsid w:val="0056242E"/>
    <w:rsid w:val="0056282E"/>
    <w:rsid w:val="00563429"/>
    <w:rsid w:val="00570D37"/>
    <w:rsid w:val="00570F8B"/>
    <w:rsid w:val="00571089"/>
    <w:rsid w:val="00571B81"/>
    <w:rsid w:val="005726BA"/>
    <w:rsid w:val="0057288A"/>
    <w:rsid w:val="00573062"/>
    <w:rsid w:val="00574F95"/>
    <w:rsid w:val="00575394"/>
    <w:rsid w:val="005755B2"/>
    <w:rsid w:val="00575A0D"/>
    <w:rsid w:val="0058242B"/>
    <w:rsid w:val="005826A2"/>
    <w:rsid w:val="00583C6E"/>
    <w:rsid w:val="0058555C"/>
    <w:rsid w:val="00585AE0"/>
    <w:rsid w:val="005860FE"/>
    <w:rsid w:val="0058620A"/>
    <w:rsid w:val="005869AF"/>
    <w:rsid w:val="005905F8"/>
    <w:rsid w:val="00590E44"/>
    <w:rsid w:val="00593C9D"/>
    <w:rsid w:val="00597689"/>
    <w:rsid w:val="00597AA3"/>
    <w:rsid w:val="00597C7B"/>
    <w:rsid w:val="00597E8E"/>
    <w:rsid w:val="005A0735"/>
    <w:rsid w:val="005A1EDE"/>
    <w:rsid w:val="005A324F"/>
    <w:rsid w:val="005A584B"/>
    <w:rsid w:val="005A5D66"/>
    <w:rsid w:val="005A5E26"/>
    <w:rsid w:val="005A6454"/>
    <w:rsid w:val="005A75B8"/>
    <w:rsid w:val="005B028F"/>
    <w:rsid w:val="005B078C"/>
    <w:rsid w:val="005B0A82"/>
    <w:rsid w:val="005B418B"/>
    <w:rsid w:val="005B5C6A"/>
    <w:rsid w:val="005B6569"/>
    <w:rsid w:val="005B69D8"/>
    <w:rsid w:val="005C0242"/>
    <w:rsid w:val="005C21D8"/>
    <w:rsid w:val="005C237D"/>
    <w:rsid w:val="005C2770"/>
    <w:rsid w:val="005C3EDD"/>
    <w:rsid w:val="005D0C13"/>
    <w:rsid w:val="005D287B"/>
    <w:rsid w:val="005D4C82"/>
    <w:rsid w:val="005D4FA4"/>
    <w:rsid w:val="005D505F"/>
    <w:rsid w:val="005D5582"/>
    <w:rsid w:val="005D622E"/>
    <w:rsid w:val="005E01AE"/>
    <w:rsid w:val="005E01B0"/>
    <w:rsid w:val="005E1F4B"/>
    <w:rsid w:val="005E2F72"/>
    <w:rsid w:val="005E4283"/>
    <w:rsid w:val="005E4A17"/>
    <w:rsid w:val="005E53BB"/>
    <w:rsid w:val="005E57D7"/>
    <w:rsid w:val="005E639C"/>
    <w:rsid w:val="005E73BF"/>
    <w:rsid w:val="005F0F30"/>
    <w:rsid w:val="005F1CC1"/>
    <w:rsid w:val="005F2A3D"/>
    <w:rsid w:val="005F38A1"/>
    <w:rsid w:val="005F5CE2"/>
    <w:rsid w:val="005F6CC4"/>
    <w:rsid w:val="005F6F09"/>
    <w:rsid w:val="00600444"/>
    <w:rsid w:val="00600CB3"/>
    <w:rsid w:val="0060174A"/>
    <w:rsid w:val="006023B7"/>
    <w:rsid w:val="00603D7E"/>
    <w:rsid w:val="00604202"/>
    <w:rsid w:val="00605DA2"/>
    <w:rsid w:val="0060606A"/>
    <w:rsid w:val="00606A7B"/>
    <w:rsid w:val="00606D22"/>
    <w:rsid w:val="006070DF"/>
    <w:rsid w:val="00611907"/>
    <w:rsid w:val="00612872"/>
    <w:rsid w:val="00613DC8"/>
    <w:rsid w:val="00620280"/>
    <w:rsid w:val="00620494"/>
    <w:rsid w:val="00621A2F"/>
    <w:rsid w:val="006228F8"/>
    <w:rsid w:val="006232B6"/>
    <w:rsid w:val="00623B45"/>
    <w:rsid w:val="006253E8"/>
    <w:rsid w:val="00630E63"/>
    <w:rsid w:val="006312D6"/>
    <w:rsid w:val="00631F95"/>
    <w:rsid w:val="00632F0C"/>
    <w:rsid w:val="006334A0"/>
    <w:rsid w:val="0063418D"/>
    <w:rsid w:val="006346E5"/>
    <w:rsid w:val="00635DA7"/>
    <w:rsid w:val="00636182"/>
    <w:rsid w:val="0063758F"/>
    <w:rsid w:val="00637E74"/>
    <w:rsid w:val="0064021D"/>
    <w:rsid w:val="006430FC"/>
    <w:rsid w:val="0064344A"/>
    <w:rsid w:val="006435FE"/>
    <w:rsid w:val="0064378B"/>
    <w:rsid w:val="00644318"/>
    <w:rsid w:val="0064536B"/>
    <w:rsid w:val="00645988"/>
    <w:rsid w:val="00646F34"/>
    <w:rsid w:val="006471A1"/>
    <w:rsid w:val="0065000E"/>
    <w:rsid w:val="006505BF"/>
    <w:rsid w:val="00650F60"/>
    <w:rsid w:val="0065121E"/>
    <w:rsid w:val="00652C17"/>
    <w:rsid w:val="006534CE"/>
    <w:rsid w:val="00653B43"/>
    <w:rsid w:val="00653E85"/>
    <w:rsid w:val="00654FCB"/>
    <w:rsid w:val="00657B68"/>
    <w:rsid w:val="00657C45"/>
    <w:rsid w:val="00661166"/>
    <w:rsid w:val="00662B8F"/>
    <w:rsid w:val="006631B0"/>
    <w:rsid w:val="006649A0"/>
    <w:rsid w:val="006651FF"/>
    <w:rsid w:val="006666D1"/>
    <w:rsid w:val="006716BC"/>
    <w:rsid w:val="00671BFB"/>
    <w:rsid w:val="00671C44"/>
    <w:rsid w:val="00672130"/>
    <w:rsid w:val="00672332"/>
    <w:rsid w:val="00672A2F"/>
    <w:rsid w:val="00672C85"/>
    <w:rsid w:val="00673EB4"/>
    <w:rsid w:val="006743FC"/>
    <w:rsid w:val="006746B6"/>
    <w:rsid w:val="00675E55"/>
    <w:rsid w:val="006812B2"/>
    <w:rsid w:val="00681359"/>
    <w:rsid w:val="006853AD"/>
    <w:rsid w:val="00687232"/>
    <w:rsid w:val="00687FB3"/>
    <w:rsid w:val="00687FDD"/>
    <w:rsid w:val="00690FAA"/>
    <w:rsid w:val="00691862"/>
    <w:rsid w:val="006951B4"/>
    <w:rsid w:val="0069746F"/>
    <w:rsid w:val="006A0C30"/>
    <w:rsid w:val="006A1182"/>
    <w:rsid w:val="006A129E"/>
    <w:rsid w:val="006A1BE3"/>
    <w:rsid w:val="006A228E"/>
    <w:rsid w:val="006A3A3E"/>
    <w:rsid w:val="006A5C1A"/>
    <w:rsid w:val="006A7E5D"/>
    <w:rsid w:val="006B06E7"/>
    <w:rsid w:val="006B0D0E"/>
    <w:rsid w:val="006B1559"/>
    <w:rsid w:val="006B2D4C"/>
    <w:rsid w:val="006B38D9"/>
    <w:rsid w:val="006B58C4"/>
    <w:rsid w:val="006B7968"/>
    <w:rsid w:val="006C05BE"/>
    <w:rsid w:val="006C1723"/>
    <w:rsid w:val="006C4BDD"/>
    <w:rsid w:val="006C7B65"/>
    <w:rsid w:val="006C7FBC"/>
    <w:rsid w:val="006D1785"/>
    <w:rsid w:val="006D2E01"/>
    <w:rsid w:val="006D353E"/>
    <w:rsid w:val="006D49A7"/>
    <w:rsid w:val="006D4D6B"/>
    <w:rsid w:val="006D4EC9"/>
    <w:rsid w:val="006D6197"/>
    <w:rsid w:val="006D7215"/>
    <w:rsid w:val="006D7E63"/>
    <w:rsid w:val="006E003D"/>
    <w:rsid w:val="006E0890"/>
    <w:rsid w:val="006E0CAF"/>
    <w:rsid w:val="006E26D8"/>
    <w:rsid w:val="006E2ADF"/>
    <w:rsid w:val="006E3458"/>
    <w:rsid w:val="006E3E45"/>
    <w:rsid w:val="006E3F2A"/>
    <w:rsid w:val="006E7139"/>
    <w:rsid w:val="006E7258"/>
    <w:rsid w:val="006E7492"/>
    <w:rsid w:val="006E7980"/>
    <w:rsid w:val="006F0214"/>
    <w:rsid w:val="006F163E"/>
    <w:rsid w:val="006F1881"/>
    <w:rsid w:val="006F56C5"/>
    <w:rsid w:val="006F5F3D"/>
    <w:rsid w:val="006F60F6"/>
    <w:rsid w:val="006F70D4"/>
    <w:rsid w:val="006F7BC2"/>
    <w:rsid w:val="006F7E5D"/>
    <w:rsid w:val="007031AF"/>
    <w:rsid w:val="0070372C"/>
    <w:rsid w:val="00705B21"/>
    <w:rsid w:val="00712AB3"/>
    <w:rsid w:val="00713884"/>
    <w:rsid w:val="007143CC"/>
    <w:rsid w:val="00716249"/>
    <w:rsid w:val="00716F98"/>
    <w:rsid w:val="007214B5"/>
    <w:rsid w:val="007216A0"/>
    <w:rsid w:val="00722C23"/>
    <w:rsid w:val="00723967"/>
    <w:rsid w:val="007242D6"/>
    <w:rsid w:val="00724527"/>
    <w:rsid w:val="0072481F"/>
    <w:rsid w:val="007255F0"/>
    <w:rsid w:val="00725B75"/>
    <w:rsid w:val="00727079"/>
    <w:rsid w:val="007278E6"/>
    <w:rsid w:val="00727B9E"/>
    <w:rsid w:val="0073110E"/>
    <w:rsid w:val="00731C25"/>
    <w:rsid w:val="00731D1D"/>
    <w:rsid w:val="007332BE"/>
    <w:rsid w:val="007336AC"/>
    <w:rsid w:val="00733930"/>
    <w:rsid w:val="007342F3"/>
    <w:rsid w:val="00734509"/>
    <w:rsid w:val="00734A5F"/>
    <w:rsid w:val="00735207"/>
    <w:rsid w:val="00736863"/>
    <w:rsid w:val="00740624"/>
    <w:rsid w:val="00741564"/>
    <w:rsid w:val="007416F5"/>
    <w:rsid w:val="00742323"/>
    <w:rsid w:val="00745BDA"/>
    <w:rsid w:val="00747911"/>
    <w:rsid w:val="007526BE"/>
    <w:rsid w:val="00752E32"/>
    <w:rsid w:val="007532ED"/>
    <w:rsid w:val="0075366E"/>
    <w:rsid w:val="00755B10"/>
    <w:rsid w:val="0075744D"/>
    <w:rsid w:val="00757AA5"/>
    <w:rsid w:val="0076303D"/>
    <w:rsid w:val="00763612"/>
    <w:rsid w:val="0076394B"/>
    <w:rsid w:val="00763D0E"/>
    <w:rsid w:val="00764B82"/>
    <w:rsid w:val="007654CF"/>
    <w:rsid w:val="00765F85"/>
    <w:rsid w:val="007701CB"/>
    <w:rsid w:val="00771958"/>
    <w:rsid w:val="0077222F"/>
    <w:rsid w:val="00773ABB"/>
    <w:rsid w:val="00773FE4"/>
    <w:rsid w:val="00775A97"/>
    <w:rsid w:val="0078072A"/>
    <w:rsid w:val="00780BFD"/>
    <w:rsid w:val="00790269"/>
    <w:rsid w:val="007918CA"/>
    <w:rsid w:val="0079194B"/>
    <w:rsid w:val="0079450F"/>
    <w:rsid w:val="00796570"/>
    <w:rsid w:val="00796E05"/>
    <w:rsid w:val="007A0A37"/>
    <w:rsid w:val="007A1DBE"/>
    <w:rsid w:val="007A20B6"/>
    <w:rsid w:val="007A2C54"/>
    <w:rsid w:val="007A4443"/>
    <w:rsid w:val="007A5289"/>
    <w:rsid w:val="007A57C1"/>
    <w:rsid w:val="007A6376"/>
    <w:rsid w:val="007B0062"/>
    <w:rsid w:val="007B24E4"/>
    <w:rsid w:val="007B2AA3"/>
    <w:rsid w:val="007B3976"/>
    <w:rsid w:val="007B4140"/>
    <w:rsid w:val="007B47C9"/>
    <w:rsid w:val="007B5508"/>
    <w:rsid w:val="007B651F"/>
    <w:rsid w:val="007B6D29"/>
    <w:rsid w:val="007B7742"/>
    <w:rsid w:val="007C1530"/>
    <w:rsid w:val="007C1AA2"/>
    <w:rsid w:val="007C1F5F"/>
    <w:rsid w:val="007C285D"/>
    <w:rsid w:val="007C3131"/>
    <w:rsid w:val="007C3BD5"/>
    <w:rsid w:val="007C4287"/>
    <w:rsid w:val="007C6DE1"/>
    <w:rsid w:val="007D2872"/>
    <w:rsid w:val="007D2AC9"/>
    <w:rsid w:val="007D3B29"/>
    <w:rsid w:val="007D41E1"/>
    <w:rsid w:val="007D57FD"/>
    <w:rsid w:val="007D5D9A"/>
    <w:rsid w:val="007D5FBB"/>
    <w:rsid w:val="007D6BDF"/>
    <w:rsid w:val="007E0AF7"/>
    <w:rsid w:val="007E0F8F"/>
    <w:rsid w:val="007E1263"/>
    <w:rsid w:val="007E1C83"/>
    <w:rsid w:val="007E3AF6"/>
    <w:rsid w:val="007E4422"/>
    <w:rsid w:val="007E5D10"/>
    <w:rsid w:val="007E66AF"/>
    <w:rsid w:val="007E71B4"/>
    <w:rsid w:val="007E7698"/>
    <w:rsid w:val="007F1729"/>
    <w:rsid w:val="007F2491"/>
    <w:rsid w:val="007F5B52"/>
    <w:rsid w:val="007F6035"/>
    <w:rsid w:val="00800231"/>
    <w:rsid w:val="008010D7"/>
    <w:rsid w:val="008029DF"/>
    <w:rsid w:val="00805FF0"/>
    <w:rsid w:val="00806ECD"/>
    <w:rsid w:val="00810654"/>
    <w:rsid w:val="00811C55"/>
    <w:rsid w:val="00811E15"/>
    <w:rsid w:val="008141DF"/>
    <w:rsid w:val="00814488"/>
    <w:rsid w:val="00814A4E"/>
    <w:rsid w:val="0081618E"/>
    <w:rsid w:val="00816731"/>
    <w:rsid w:val="00816E9C"/>
    <w:rsid w:val="00816EE3"/>
    <w:rsid w:val="00821B33"/>
    <w:rsid w:val="00824850"/>
    <w:rsid w:val="00824E12"/>
    <w:rsid w:val="00827752"/>
    <w:rsid w:val="00827B94"/>
    <w:rsid w:val="008319FC"/>
    <w:rsid w:val="00832453"/>
    <w:rsid w:val="00832C59"/>
    <w:rsid w:val="00833E6F"/>
    <w:rsid w:val="00836408"/>
    <w:rsid w:val="008402A6"/>
    <w:rsid w:val="0084206A"/>
    <w:rsid w:val="008423FE"/>
    <w:rsid w:val="0084363F"/>
    <w:rsid w:val="0084798E"/>
    <w:rsid w:val="008479D8"/>
    <w:rsid w:val="00852733"/>
    <w:rsid w:val="00856E04"/>
    <w:rsid w:val="00857339"/>
    <w:rsid w:val="00857C81"/>
    <w:rsid w:val="00862A77"/>
    <w:rsid w:val="008636FA"/>
    <w:rsid w:val="00863B22"/>
    <w:rsid w:val="008679B0"/>
    <w:rsid w:val="00871AA9"/>
    <w:rsid w:val="00871B18"/>
    <w:rsid w:val="00871ED1"/>
    <w:rsid w:val="00871F56"/>
    <w:rsid w:val="00872E34"/>
    <w:rsid w:val="008745B5"/>
    <w:rsid w:val="008758BF"/>
    <w:rsid w:val="00875EEA"/>
    <w:rsid w:val="00877841"/>
    <w:rsid w:val="00881697"/>
    <w:rsid w:val="0088184A"/>
    <w:rsid w:val="00881D32"/>
    <w:rsid w:val="00882670"/>
    <w:rsid w:val="0088293D"/>
    <w:rsid w:val="008838B8"/>
    <w:rsid w:val="00885120"/>
    <w:rsid w:val="0089181D"/>
    <w:rsid w:val="00891983"/>
    <w:rsid w:val="00892012"/>
    <w:rsid w:val="0089535D"/>
    <w:rsid w:val="008961F5"/>
    <w:rsid w:val="00896696"/>
    <w:rsid w:val="008976D7"/>
    <w:rsid w:val="008A0123"/>
    <w:rsid w:val="008A0BD3"/>
    <w:rsid w:val="008A1972"/>
    <w:rsid w:val="008A31A7"/>
    <w:rsid w:val="008A4A84"/>
    <w:rsid w:val="008A5498"/>
    <w:rsid w:val="008A5762"/>
    <w:rsid w:val="008B0BDA"/>
    <w:rsid w:val="008B2D32"/>
    <w:rsid w:val="008B3917"/>
    <w:rsid w:val="008B4569"/>
    <w:rsid w:val="008B55D0"/>
    <w:rsid w:val="008B787A"/>
    <w:rsid w:val="008B78B9"/>
    <w:rsid w:val="008B7B1B"/>
    <w:rsid w:val="008B7B6F"/>
    <w:rsid w:val="008C0D7C"/>
    <w:rsid w:val="008C0ECD"/>
    <w:rsid w:val="008C20E6"/>
    <w:rsid w:val="008C2B67"/>
    <w:rsid w:val="008C561B"/>
    <w:rsid w:val="008C6314"/>
    <w:rsid w:val="008C7183"/>
    <w:rsid w:val="008C7B66"/>
    <w:rsid w:val="008D0CB0"/>
    <w:rsid w:val="008D1868"/>
    <w:rsid w:val="008D1A8D"/>
    <w:rsid w:val="008D2750"/>
    <w:rsid w:val="008D293F"/>
    <w:rsid w:val="008D471B"/>
    <w:rsid w:val="008D4ADE"/>
    <w:rsid w:val="008D5184"/>
    <w:rsid w:val="008D6275"/>
    <w:rsid w:val="008D69FD"/>
    <w:rsid w:val="008E062E"/>
    <w:rsid w:val="008E0904"/>
    <w:rsid w:val="008E1363"/>
    <w:rsid w:val="008E43E6"/>
    <w:rsid w:val="008E5EB7"/>
    <w:rsid w:val="008E63E9"/>
    <w:rsid w:val="008E66A8"/>
    <w:rsid w:val="008E7039"/>
    <w:rsid w:val="008F0454"/>
    <w:rsid w:val="008F30F5"/>
    <w:rsid w:val="008F44FE"/>
    <w:rsid w:val="008F4625"/>
    <w:rsid w:val="009012DC"/>
    <w:rsid w:val="009018B1"/>
    <w:rsid w:val="0090280C"/>
    <w:rsid w:val="00902EFA"/>
    <w:rsid w:val="0090526C"/>
    <w:rsid w:val="009064E2"/>
    <w:rsid w:val="009101BC"/>
    <w:rsid w:val="00911208"/>
    <w:rsid w:val="00911B40"/>
    <w:rsid w:val="00911E54"/>
    <w:rsid w:val="00915837"/>
    <w:rsid w:val="00917A70"/>
    <w:rsid w:val="00922683"/>
    <w:rsid w:val="0092274A"/>
    <w:rsid w:val="0092322C"/>
    <w:rsid w:val="00924A0D"/>
    <w:rsid w:val="0092509E"/>
    <w:rsid w:val="00926AA6"/>
    <w:rsid w:val="00930133"/>
    <w:rsid w:val="00931663"/>
    <w:rsid w:val="009319C2"/>
    <w:rsid w:val="009328DC"/>
    <w:rsid w:val="0093421D"/>
    <w:rsid w:val="00936080"/>
    <w:rsid w:val="00940947"/>
    <w:rsid w:val="00941573"/>
    <w:rsid w:val="00941C93"/>
    <w:rsid w:val="009426EB"/>
    <w:rsid w:val="0094306E"/>
    <w:rsid w:val="00943B10"/>
    <w:rsid w:val="00945381"/>
    <w:rsid w:val="0094547B"/>
    <w:rsid w:val="00945D04"/>
    <w:rsid w:val="00946870"/>
    <w:rsid w:val="009477FA"/>
    <w:rsid w:val="0095033D"/>
    <w:rsid w:val="00950A88"/>
    <w:rsid w:val="00951DFD"/>
    <w:rsid w:val="009527A9"/>
    <w:rsid w:val="00954716"/>
    <w:rsid w:val="009566B0"/>
    <w:rsid w:val="00957F27"/>
    <w:rsid w:val="00961532"/>
    <w:rsid w:val="00961DAD"/>
    <w:rsid w:val="00962B64"/>
    <w:rsid w:val="00962FBF"/>
    <w:rsid w:val="009631C5"/>
    <w:rsid w:val="00963CE6"/>
    <w:rsid w:val="009642B8"/>
    <w:rsid w:val="009646FE"/>
    <w:rsid w:val="00964DE7"/>
    <w:rsid w:val="009651D0"/>
    <w:rsid w:val="00965809"/>
    <w:rsid w:val="00965C6F"/>
    <w:rsid w:val="009704D2"/>
    <w:rsid w:val="00971E85"/>
    <w:rsid w:val="00972E74"/>
    <w:rsid w:val="00973DAB"/>
    <w:rsid w:val="00974095"/>
    <w:rsid w:val="0097591C"/>
    <w:rsid w:val="00977E8D"/>
    <w:rsid w:val="0098106D"/>
    <w:rsid w:val="009820F4"/>
    <w:rsid w:val="00983913"/>
    <w:rsid w:val="00983AF8"/>
    <w:rsid w:val="009873B3"/>
    <w:rsid w:val="00987827"/>
    <w:rsid w:val="009915FF"/>
    <w:rsid w:val="00991810"/>
    <w:rsid w:val="00992439"/>
    <w:rsid w:val="009932C4"/>
    <w:rsid w:val="00993564"/>
    <w:rsid w:val="00994811"/>
    <w:rsid w:val="00994920"/>
    <w:rsid w:val="00995865"/>
    <w:rsid w:val="00996097"/>
    <w:rsid w:val="009A2748"/>
    <w:rsid w:val="009A50FF"/>
    <w:rsid w:val="009A6660"/>
    <w:rsid w:val="009B2BC4"/>
    <w:rsid w:val="009B2E2F"/>
    <w:rsid w:val="009B37CB"/>
    <w:rsid w:val="009B390E"/>
    <w:rsid w:val="009B4170"/>
    <w:rsid w:val="009B64B3"/>
    <w:rsid w:val="009B65A1"/>
    <w:rsid w:val="009C2643"/>
    <w:rsid w:val="009C66C3"/>
    <w:rsid w:val="009D0033"/>
    <w:rsid w:val="009D04E8"/>
    <w:rsid w:val="009D0B3D"/>
    <w:rsid w:val="009D12E2"/>
    <w:rsid w:val="009D3FFD"/>
    <w:rsid w:val="009D54BA"/>
    <w:rsid w:val="009D56CE"/>
    <w:rsid w:val="009D6726"/>
    <w:rsid w:val="009D70E0"/>
    <w:rsid w:val="009E0193"/>
    <w:rsid w:val="009E030D"/>
    <w:rsid w:val="009E1CE5"/>
    <w:rsid w:val="009E3455"/>
    <w:rsid w:val="009E42A0"/>
    <w:rsid w:val="009E4FB0"/>
    <w:rsid w:val="009E6CB0"/>
    <w:rsid w:val="009E6CD6"/>
    <w:rsid w:val="009E7BD4"/>
    <w:rsid w:val="009F128D"/>
    <w:rsid w:val="009F1677"/>
    <w:rsid w:val="009F1C76"/>
    <w:rsid w:val="009F2035"/>
    <w:rsid w:val="009F51CA"/>
    <w:rsid w:val="009F5BFA"/>
    <w:rsid w:val="009F653C"/>
    <w:rsid w:val="009F6BB2"/>
    <w:rsid w:val="009F6C0D"/>
    <w:rsid w:val="009F710F"/>
    <w:rsid w:val="00A02CC4"/>
    <w:rsid w:val="00A02DC0"/>
    <w:rsid w:val="00A031C9"/>
    <w:rsid w:val="00A03776"/>
    <w:rsid w:val="00A04CDD"/>
    <w:rsid w:val="00A066A9"/>
    <w:rsid w:val="00A06C47"/>
    <w:rsid w:val="00A10EAF"/>
    <w:rsid w:val="00A132D3"/>
    <w:rsid w:val="00A13BDC"/>
    <w:rsid w:val="00A15741"/>
    <w:rsid w:val="00A15925"/>
    <w:rsid w:val="00A16869"/>
    <w:rsid w:val="00A16A35"/>
    <w:rsid w:val="00A226EE"/>
    <w:rsid w:val="00A23629"/>
    <w:rsid w:val="00A2434B"/>
    <w:rsid w:val="00A248D1"/>
    <w:rsid w:val="00A25C50"/>
    <w:rsid w:val="00A27612"/>
    <w:rsid w:val="00A30C35"/>
    <w:rsid w:val="00A31048"/>
    <w:rsid w:val="00A32877"/>
    <w:rsid w:val="00A354C3"/>
    <w:rsid w:val="00A40326"/>
    <w:rsid w:val="00A4151F"/>
    <w:rsid w:val="00A4242D"/>
    <w:rsid w:val="00A42BCB"/>
    <w:rsid w:val="00A47617"/>
    <w:rsid w:val="00A51EC1"/>
    <w:rsid w:val="00A534AB"/>
    <w:rsid w:val="00A556C7"/>
    <w:rsid w:val="00A55DA1"/>
    <w:rsid w:val="00A57865"/>
    <w:rsid w:val="00A609B6"/>
    <w:rsid w:val="00A619EB"/>
    <w:rsid w:val="00A62939"/>
    <w:rsid w:val="00A63B6B"/>
    <w:rsid w:val="00A655E9"/>
    <w:rsid w:val="00A66B62"/>
    <w:rsid w:val="00A66BC3"/>
    <w:rsid w:val="00A67E75"/>
    <w:rsid w:val="00A7037C"/>
    <w:rsid w:val="00A7193C"/>
    <w:rsid w:val="00A721A9"/>
    <w:rsid w:val="00A73AD4"/>
    <w:rsid w:val="00A76E66"/>
    <w:rsid w:val="00A7751B"/>
    <w:rsid w:val="00A800EE"/>
    <w:rsid w:val="00A80605"/>
    <w:rsid w:val="00A812F8"/>
    <w:rsid w:val="00A817BE"/>
    <w:rsid w:val="00A83C96"/>
    <w:rsid w:val="00A85B03"/>
    <w:rsid w:val="00A865B5"/>
    <w:rsid w:val="00A875AB"/>
    <w:rsid w:val="00A9255E"/>
    <w:rsid w:val="00A9264E"/>
    <w:rsid w:val="00A933D4"/>
    <w:rsid w:val="00A9399B"/>
    <w:rsid w:val="00A94C72"/>
    <w:rsid w:val="00A95E19"/>
    <w:rsid w:val="00A9672F"/>
    <w:rsid w:val="00A96BF5"/>
    <w:rsid w:val="00AA196A"/>
    <w:rsid w:val="00AA558C"/>
    <w:rsid w:val="00AA71E6"/>
    <w:rsid w:val="00AA7A68"/>
    <w:rsid w:val="00AA7ED5"/>
    <w:rsid w:val="00AB11F3"/>
    <w:rsid w:val="00AB1641"/>
    <w:rsid w:val="00AB18FB"/>
    <w:rsid w:val="00AB207A"/>
    <w:rsid w:val="00AB2744"/>
    <w:rsid w:val="00AB2FD0"/>
    <w:rsid w:val="00AB36C2"/>
    <w:rsid w:val="00AB440D"/>
    <w:rsid w:val="00AB6982"/>
    <w:rsid w:val="00AB6BAE"/>
    <w:rsid w:val="00AB6E25"/>
    <w:rsid w:val="00AB7CFE"/>
    <w:rsid w:val="00AC0158"/>
    <w:rsid w:val="00AC2CA1"/>
    <w:rsid w:val="00AC2CEE"/>
    <w:rsid w:val="00AC2F02"/>
    <w:rsid w:val="00AC2F55"/>
    <w:rsid w:val="00AC4B76"/>
    <w:rsid w:val="00AC6862"/>
    <w:rsid w:val="00AD02DE"/>
    <w:rsid w:val="00AD0EAE"/>
    <w:rsid w:val="00AD34D8"/>
    <w:rsid w:val="00AD413A"/>
    <w:rsid w:val="00AD4E60"/>
    <w:rsid w:val="00AD5B4C"/>
    <w:rsid w:val="00AD7C2B"/>
    <w:rsid w:val="00AE0285"/>
    <w:rsid w:val="00AE062A"/>
    <w:rsid w:val="00AE1155"/>
    <w:rsid w:val="00AE234C"/>
    <w:rsid w:val="00AE32FA"/>
    <w:rsid w:val="00AE52A1"/>
    <w:rsid w:val="00AE548A"/>
    <w:rsid w:val="00AE5535"/>
    <w:rsid w:val="00AE69F3"/>
    <w:rsid w:val="00AE6A0F"/>
    <w:rsid w:val="00AE6D6F"/>
    <w:rsid w:val="00AE771B"/>
    <w:rsid w:val="00AF58CD"/>
    <w:rsid w:val="00AF5A99"/>
    <w:rsid w:val="00AF644F"/>
    <w:rsid w:val="00B00D0E"/>
    <w:rsid w:val="00B01EFC"/>
    <w:rsid w:val="00B02669"/>
    <w:rsid w:val="00B02923"/>
    <w:rsid w:val="00B02B5D"/>
    <w:rsid w:val="00B0469C"/>
    <w:rsid w:val="00B07EBB"/>
    <w:rsid w:val="00B07FD9"/>
    <w:rsid w:val="00B10B58"/>
    <w:rsid w:val="00B13877"/>
    <w:rsid w:val="00B14A96"/>
    <w:rsid w:val="00B150FB"/>
    <w:rsid w:val="00B151F6"/>
    <w:rsid w:val="00B15903"/>
    <w:rsid w:val="00B20651"/>
    <w:rsid w:val="00B22419"/>
    <w:rsid w:val="00B23846"/>
    <w:rsid w:val="00B2628B"/>
    <w:rsid w:val="00B279AC"/>
    <w:rsid w:val="00B309FD"/>
    <w:rsid w:val="00B30D49"/>
    <w:rsid w:val="00B31ED9"/>
    <w:rsid w:val="00B342D9"/>
    <w:rsid w:val="00B343BA"/>
    <w:rsid w:val="00B3493A"/>
    <w:rsid w:val="00B34E58"/>
    <w:rsid w:val="00B35BD5"/>
    <w:rsid w:val="00B41C00"/>
    <w:rsid w:val="00B45B0F"/>
    <w:rsid w:val="00B50BF5"/>
    <w:rsid w:val="00B53B98"/>
    <w:rsid w:val="00B54775"/>
    <w:rsid w:val="00B54B17"/>
    <w:rsid w:val="00B54C11"/>
    <w:rsid w:val="00B557CA"/>
    <w:rsid w:val="00B5679D"/>
    <w:rsid w:val="00B57877"/>
    <w:rsid w:val="00B57E7B"/>
    <w:rsid w:val="00B609CC"/>
    <w:rsid w:val="00B61F2F"/>
    <w:rsid w:val="00B63F3F"/>
    <w:rsid w:val="00B64C26"/>
    <w:rsid w:val="00B655B1"/>
    <w:rsid w:val="00B663C0"/>
    <w:rsid w:val="00B67B86"/>
    <w:rsid w:val="00B67BA9"/>
    <w:rsid w:val="00B67F2B"/>
    <w:rsid w:val="00B701CD"/>
    <w:rsid w:val="00B7038A"/>
    <w:rsid w:val="00B72B0C"/>
    <w:rsid w:val="00B72B38"/>
    <w:rsid w:val="00B73F00"/>
    <w:rsid w:val="00B74361"/>
    <w:rsid w:val="00B7442F"/>
    <w:rsid w:val="00B7522D"/>
    <w:rsid w:val="00B77FCE"/>
    <w:rsid w:val="00B849D9"/>
    <w:rsid w:val="00B84C82"/>
    <w:rsid w:val="00B84EFD"/>
    <w:rsid w:val="00B86534"/>
    <w:rsid w:val="00B86DBB"/>
    <w:rsid w:val="00B87CBA"/>
    <w:rsid w:val="00B87D8B"/>
    <w:rsid w:val="00B905DF"/>
    <w:rsid w:val="00B93824"/>
    <w:rsid w:val="00B94BF3"/>
    <w:rsid w:val="00B961F7"/>
    <w:rsid w:val="00B96D49"/>
    <w:rsid w:val="00BA0814"/>
    <w:rsid w:val="00BA2231"/>
    <w:rsid w:val="00BA26DD"/>
    <w:rsid w:val="00BA2FE6"/>
    <w:rsid w:val="00BA4499"/>
    <w:rsid w:val="00BA4FB5"/>
    <w:rsid w:val="00BA529C"/>
    <w:rsid w:val="00BA63E0"/>
    <w:rsid w:val="00BB195A"/>
    <w:rsid w:val="00BB3087"/>
    <w:rsid w:val="00BB6CBB"/>
    <w:rsid w:val="00BB7D6C"/>
    <w:rsid w:val="00BC1DF2"/>
    <w:rsid w:val="00BC316E"/>
    <w:rsid w:val="00BC3CC6"/>
    <w:rsid w:val="00BC45A0"/>
    <w:rsid w:val="00BC5F0A"/>
    <w:rsid w:val="00BC617D"/>
    <w:rsid w:val="00BC6B8F"/>
    <w:rsid w:val="00BC74A9"/>
    <w:rsid w:val="00BD0259"/>
    <w:rsid w:val="00BD3E62"/>
    <w:rsid w:val="00BD40CD"/>
    <w:rsid w:val="00BD4B0C"/>
    <w:rsid w:val="00BD524F"/>
    <w:rsid w:val="00BD631C"/>
    <w:rsid w:val="00BD6F2C"/>
    <w:rsid w:val="00BD7FF3"/>
    <w:rsid w:val="00BE100C"/>
    <w:rsid w:val="00BE3009"/>
    <w:rsid w:val="00BE46F9"/>
    <w:rsid w:val="00BE4942"/>
    <w:rsid w:val="00BF0280"/>
    <w:rsid w:val="00BF03D4"/>
    <w:rsid w:val="00BF563A"/>
    <w:rsid w:val="00BF628C"/>
    <w:rsid w:val="00C00F3C"/>
    <w:rsid w:val="00C014B4"/>
    <w:rsid w:val="00C01A95"/>
    <w:rsid w:val="00C01ECC"/>
    <w:rsid w:val="00C0598E"/>
    <w:rsid w:val="00C10075"/>
    <w:rsid w:val="00C10A64"/>
    <w:rsid w:val="00C11AF4"/>
    <w:rsid w:val="00C11CB4"/>
    <w:rsid w:val="00C1392D"/>
    <w:rsid w:val="00C13B18"/>
    <w:rsid w:val="00C14AD0"/>
    <w:rsid w:val="00C17392"/>
    <w:rsid w:val="00C176C8"/>
    <w:rsid w:val="00C20194"/>
    <w:rsid w:val="00C20434"/>
    <w:rsid w:val="00C20EC7"/>
    <w:rsid w:val="00C20F7A"/>
    <w:rsid w:val="00C2189A"/>
    <w:rsid w:val="00C24016"/>
    <w:rsid w:val="00C24807"/>
    <w:rsid w:val="00C25511"/>
    <w:rsid w:val="00C27AC6"/>
    <w:rsid w:val="00C317BE"/>
    <w:rsid w:val="00C35C23"/>
    <w:rsid w:val="00C36CF2"/>
    <w:rsid w:val="00C37665"/>
    <w:rsid w:val="00C40468"/>
    <w:rsid w:val="00C40634"/>
    <w:rsid w:val="00C408F5"/>
    <w:rsid w:val="00C4223D"/>
    <w:rsid w:val="00C42AE1"/>
    <w:rsid w:val="00C43E10"/>
    <w:rsid w:val="00C4406D"/>
    <w:rsid w:val="00C45660"/>
    <w:rsid w:val="00C461F7"/>
    <w:rsid w:val="00C519A5"/>
    <w:rsid w:val="00C51DEE"/>
    <w:rsid w:val="00C53DFE"/>
    <w:rsid w:val="00C53E71"/>
    <w:rsid w:val="00C54AE3"/>
    <w:rsid w:val="00C55240"/>
    <w:rsid w:val="00C60B29"/>
    <w:rsid w:val="00C61819"/>
    <w:rsid w:val="00C64634"/>
    <w:rsid w:val="00C663C9"/>
    <w:rsid w:val="00C667C4"/>
    <w:rsid w:val="00C72E71"/>
    <w:rsid w:val="00C734C3"/>
    <w:rsid w:val="00C74B0C"/>
    <w:rsid w:val="00C755FE"/>
    <w:rsid w:val="00C76751"/>
    <w:rsid w:val="00C8215A"/>
    <w:rsid w:val="00C844F3"/>
    <w:rsid w:val="00C84E26"/>
    <w:rsid w:val="00C8514D"/>
    <w:rsid w:val="00C858F9"/>
    <w:rsid w:val="00C8632D"/>
    <w:rsid w:val="00C90499"/>
    <w:rsid w:val="00C9053F"/>
    <w:rsid w:val="00C90633"/>
    <w:rsid w:val="00C937FD"/>
    <w:rsid w:val="00C942AA"/>
    <w:rsid w:val="00C95320"/>
    <w:rsid w:val="00C972FE"/>
    <w:rsid w:val="00CA0F43"/>
    <w:rsid w:val="00CA156E"/>
    <w:rsid w:val="00CA21D9"/>
    <w:rsid w:val="00CA276C"/>
    <w:rsid w:val="00CA2C1E"/>
    <w:rsid w:val="00CA568C"/>
    <w:rsid w:val="00CA5847"/>
    <w:rsid w:val="00CA6BDF"/>
    <w:rsid w:val="00CB0324"/>
    <w:rsid w:val="00CB09D3"/>
    <w:rsid w:val="00CB1FC6"/>
    <w:rsid w:val="00CB21A5"/>
    <w:rsid w:val="00CB3182"/>
    <w:rsid w:val="00CB4259"/>
    <w:rsid w:val="00CB4F79"/>
    <w:rsid w:val="00CB54DD"/>
    <w:rsid w:val="00CB6891"/>
    <w:rsid w:val="00CB79F3"/>
    <w:rsid w:val="00CB7F7D"/>
    <w:rsid w:val="00CC0E62"/>
    <w:rsid w:val="00CC1160"/>
    <w:rsid w:val="00CC5721"/>
    <w:rsid w:val="00CC5CC7"/>
    <w:rsid w:val="00CC6BDE"/>
    <w:rsid w:val="00CC7FB3"/>
    <w:rsid w:val="00CD0F9C"/>
    <w:rsid w:val="00CD1799"/>
    <w:rsid w:val="00CD3F20"/>
    <w:rsid w:val="00CD69CA"/>
    <w:rsid w:val="00CD740D"/>
    <w:rsid w:val="00CE123C"/>
    <w:rsid w:val="00CE130C"/>
    <w:rsid w:val="00CE39AF"/>
    <w:rsid w:val="00CE4867"/>
    <w:rsid w:val="00CE4ABA"/>
    <w:rsid w:val="00CE5758"/>
    <w:rsid w:val="00CE74BD"/>
    <w:rsid w:val="00CE76B8"/>
    <w:rsid w:val="00CE78CF"/>
    <w:rsid w:val="00CE7904"/>
    <w:rsid w:val="00CE7F3A"/>
    <w:rsid w:val="00CF0A4F"/>
    <w:rsid w:val="00CF10F0"/>
    <w:rsid w:val="00CF13DA"/>
    <w:rsid w:val="00CF2100"/>
    <w:rsid w:val="00CF390F"/>
    <w:rsid w:val="00CF6B4D"/>
    <w:rsid w:val="00D001DD"/>
    <w:rsid w:val="00D01BE1"/>
    <w:rsid w:val="00D03800"/>
    <w:rsid w:val="00D055B1"/>
    <w:rsid w:val="00D13D0C"/>
    <w:rsid w:val="00D1400D"/>
    <w:rsid w:val="00D14E1B"/>
    <w:rsid w:val="00D157B6"/>
    <w:rsid w:val="00D1591E"/>
    <w:rsid w:val="00D1603C"/>
    <w:rsid w:val="00D16F75"/>
    <w:rsid w:val="00D20BED"/>
    <w:rsid w:val="00D264FD"/>
    <w:rsid w:val="00D27BEC"/>
    <w:rsid w:val="00D37E94"/>
    <w:rsid w:val="00D41DDE"/>
    <w:rsid w:val="00D44066"/>
    <w:rsid w:val="00D45A6E"/>
    <w:rsid w:val="00D45DD4"/>
    <w:rsid w:val="00D46117"/>
    <w:rsid w:val="00D47696"/>
    <w:rsid w:val="00D47F84"/>
    <w:rsid w:val="00D51AAC"/>
    <w:rsid w:val="00D5206F"/>
    <w:rsid w:val="00D52AFC"/>
    <w:rsid w:val="00D52D21"/>
    <w:rsid w:val="00D54FBB"/>
    <w:rsid w:val="00D55BA4"/>
    <w:rsid w:val="00D55D75"/>
    <w:rsid w:val="00D564AF"/>
    <w:rsid w:val="00D57C99"/>
    <w:rsid w:val="00D57D0D"/>
    <w:rsid w:val="00D60403"/>
    <w:rsid w:val="00D6073B"/>
    <w:rsid w:val="00D64C22"/>
    <w:rsid w:val="00D659CD"/>
    <w:rsid w:val="00D666D5"/>
    <w:rsid w:val="00D67FB4"/>
    <w:rsid w:val="00D71269"/>
    <w:rsid w:val="00D71D7B"/>
    <w:rsid w:val="00D724B9"/>
    <w:rsid w:val="00D72966"/>
    <w:rsid w:val="00D73945"/>
    <w:rsid w:val="00D7456C"/>
    <w:rsid w:val="00D770DC"/>
    <w:rsid w:val="00D773A5"/>
    <w:rsid w:val="00D800E5"/>
    <w:rsid w:val="00D8160A"/>
    <w:rsid w:val="00D85178"/>
    <w:rsid w:val="00D860FD"/>
    <w:rsid w:val="00D9158E"/>
    <w:rsid w:val="00D92375"/>
    <w:rsid w:val="00D93C9B"/>
    <w:rsid w:val="00D94D0B"/>
    <w:rsid w:val="00D9630A"/>
    <w:rsid w:val="00D96EDD"/>
    <w:rsid w:val="00D971E6"/>
    <w:rsid w:val="00D9742A"/>
    <w:rsid w:val="00DA0A3B"/>
    <w:rsid w:val="00DA1009"/>
    <w:rsid w:val="00DA3160"/>
    <w:rsid w:val="00DA3263"/>
    <w:rsid w:val="00DA3881"/>
    <w:rsid w:val="00DA5348"/>
    <w:rsid w:val="00DA5F28"/>
    <w:rsid w:val="00DB094C"/>
    <w:rsid w:val="00DB0C7C"/>
    <w:rsid w:val="00DB22A8"/>
    <w:rsid w:val="00DB2588"/>
    <w:rsid w:val="00DB273F"/>
    <w:rsid w:val="00DB4809"/>
    <w:rsid w:val="00DB7470"/>
    <w:rsid w:val="00DC202D"/>
    <w:rsid w:val="00DC23AF"/>
    <w:rsid w:val="00DC4962"/>
    <w:rsid w:val="00DC5EA6"/>
    <w:rsid w:val="00DC6543"/>
    <w:rsid w:val="00DC65B1"/>
    <w:rsid w:val="00DD0E8B"/>
    <w:rsid w:val="00DD118E"/>
    <w:rsid w:val="00DD226E"/>
    <w:rsid w:val="00DD2292"/>
    <w:rsid w:val="00DD23E7"/>
    <w:rsid w:val="00DD428C"/>
    <w:rsid w:val="00DD47F4"/>
    <w:rsid w:val="00DD6311"/>
    <w:rsid w:val="00DD6A0B"/>
    <w:rsid w:val="00DD6BF9"/>
    <w:rsid w:val="00DD71A7"/>
    <w:rsid w:val="00DD7301"/>
    <w:rsid w:val="00DE03DF"/>
    <w:rsid w:val="00DE0502"/>
    <w:rsid w:val="00DE110A"/>
    <w:rsid w:val="00DE12CC"/>
    <w:rsid w:val="00DE17C6"/>
    <w:rsid w:val="00DE47F1"/>
    <w:rsid w:val="00DE5470"/>
    <w:rsid w:val="00DE787A"/>
    <w:rsid w:val="00DF0E5C"/>
    <w:rsid w:val="00DF10A1"/>
    <w:rsid w:val="00DF112D"/>
    <w:rsid w:val="00DF1801"/>
    <w:rsid w:val="00DF44A0"/>
    <w:rsid w:val="00DF44C3"/>
    <w:rsid w:val="00DF4E18"/>
    <w:rsid w:val="00DF64FA"/>
    <w:rsid w:val="00DF6F03"/>
    <w:rsid w:val="00DF77F6"/>
    <w:rsid w:val="00DF7D7C"/>
    <w:rsid w:val="00DF7EDD"/>
    <w:rsid w:val="00E00D37"/>
    <w:rsid w:val="00E0497E"/>
    <w:rsid w:val="00E052CC"/>
    <w:rsid w:val="00E1295F"/>
    <w:rsid w:val="00E12CD4"/>
    <w:rsid w:val="00E13C3A"/>
    <w:rsid w:val="00E145E8"/>
    <w:rsid w:val="00E17015"/>
    <w:rsid w:val="00E203C0"/>
    <w:rsid w:val="00E20C13"/>
    <w:rsid w:val="00E2373A"/>
    <w:rsid w:val="00E245F2"/>
    <w:rsid w:val="00E246A6"/>
    <w:rsid w:val="00E24B3B"/>
    <w:rsid w:val="00E26104"/>
    <w:rsid w:val="00E2730E"/>
    <w:rsid w:val="00E32DD6"/>
    <w:rsid w:val="00E330CD"/>
    <w:rsid w:val="00E34D35"/>
    <w:rsid w:val="00E405B2"/>
    <w:rsid w:val="00E409CB"/>
    <w:rsid w:val="00E4438F"/>
    <w:rsid w:val="00E44E57"/>
    <w:rsid w:val="00E45075"/>
    <w:rsid w:val="00E45152"/>
    <w:rsid w:val="00E4558B"/>
    <w:rsid w:val="00E45A24"/>
    <w:rsid w:val="00E45D2F"/>
    <w:rsid w:val="00E46BA6"/>
    <w:rsid w:val="00E50565"/>
    <w:rsid w:val="00E50F51"/>
    <w:rsid w:val="00E51519"/>
    <w:rsid w:val="00E52981"/>
    <w:rsid w:val="00E52B72"/>
    <w:rsid w:val="00E52DB3"/>
    <w:rsid w:val="00E5403B"/>
    <w:rsid w:val="00E55B1C"/>
    <w:rsid w:val="00E56595"/>
    <w:rsid w:val="00E5792B"/>
    <w:rsid w:val="00E57FD4"/>
    <w:rsid w:val="00E601C0"/>
    <w:rsid w:val="00E633CD"/>
    <w:rsid w:val="00E6377E"/>
    <w:rsid w:val="00E63AEF"/>
    <w:rsid w:val="00E650AC"/>
    <w:rsid w:val="00E656EB"/>
    <w:rsid w:val="00E66543"/>
    <w:rsid w:val="00E66C55"/>
    <w:rsid w:val="00E66D4D"/>
    <w:rsid w:val="00E66EC0"/>
    <w:rsid w:val="00E67F1F"/>
    <w:rsid w:val="00E67FA9"/>
    <w:rsid w:val="00E70287"/>
    <w:rsid w:val="00E70AC4"/>
    <w:rsid w:val="00E7108D"/>
    <w:rsid w:val="00E7247B"/>
    <w:rsid w:val="00E72CC9"/>
    <w:rsid w:val="00E73794"/>
    <w:rsid w:val="00E74306"/>
    <w:rsid w:val="00E7455B"/>
    <w:rsid w:val="00E7487B"/>
    <w:rsid w:val="00E75099"/>
    <w:rsid w:val="00E750DC"/>
    <w:rsid w:val="00E753CF"/>
    <w:rsid w:val="00E76AF1"/>
    <w:rsid w:val="00E7757F"/>
    <w:rsid w:val="00E8050A"/>
    <w:rsid w:val="00E807B5"/>
    <w:rsid w:val="00E82378"/>
    <w:rsid w:val="00E83385"/>
    <w:rsid w:val="00E8348D"/>
    <w:rsid w:val="00E854EE"/>
    <w:rsid w:val="00E862CC"/>
    <w:rsid w:val="00E87965"/>
    <w:rsid w:val="00E92127"/>
    <w:rsid w:val="00E92300"/>
    <w:rsid w:val="00E947AB"/>
    <w:rsid w:val="00E948CE"/>
    <w:rsid w:val="00E96400"/>
    <w:rsid w:val="00E96F96"/>
    <w:rsid w:val="00EA03AB"/>
    <w:rsid w:val="00EA26D2"/>
    <w:rsid w:val="00EA51C7"/>
    <w:rsid w:val="00EA639A"/>
    <w:rsid w:val="00EA697C"/>
    <w:rsid w:val="00EB02B5"/>
    <w:rsid w:val="00EB18BD"/>
    <w:rsid w:val="00EB3C57"/>
    <w:rsid w:val="00EB4A59"/>
    <w:rsid w:val="00EB5529"/>
    <w:rsid w:val="00EB5F3A"/>
    <w:rsid w:val="00EC0891"/>
    <w:rsid w:val="00EC0974"/>
    <w:rsid w:val="00EC2450"/>
    <w:rsid w:val="00EC2BEB"/>
    <w:rsid w:val="00EC2C22"/>
    <w:rsid w:val="00EC2DDB"/>
    <w:rsid w:val="00EC3A1B"/>
    <w:rsid w:val="00EC408B"/>
    <w:rsid w:val="00EC4551"/>
    <w:rsid w:val="00EC4A56"/>
    <w:rsid w:val="00EC4D74"/>
    <w:rsid w:val="00ED0286"/>
    <w:rsid w:val="00ED0F4C"/>
    <w:rsid w:val="00ED10C1"/>
    <w:rsid w:val="00ED239B"/>
    <w:rsid w:val="00ED2E9B"/>
    <w:rsid w:val="00ED3BAF"/>
    <w:rsid w:val="00ED3D20"/>
    <w:rsid w:val="00ED51E2"/>
    <w:rsid w:val="00ED59F5"/>
    <w:rsid w:val="00ED5B84"/>
    <w:rsid w:val="00ED7951"/>
    <w:rsid w:val="00ED7A4C"/>
    <w:rsid w:val="00EE08BD"/>
    <w:rsid w:val="00EE1257"/>
    <w:rsid w:val="00EE3239"/>
    <w:rsid w:val="00EE42F0"/>
    <w:rsid w:val="00EE4DF8"/>
    <w:rsid w:val="00EE6427"/>
    <w:rsid w:val="00EE7040"/>
    <w:rsid w:val="00EE7FDF"/>
    <w:rsid w:val="00EF1013"/>
    <w:rsid w:val="00EF4C33"/>
    <w:rsid w:val="00EF7A9C"/>
    <w:rsid w:val="00F02E00"/>
    <w:rsid w:val="00F0454F"/>
    <w:rsid w:val="00F0488C"/>
    <w:rsid w:val="00F04FAC"/>
    <w:rsid w:val="00F05EDF"/>
    <w:rsid w:val="00F07382"/>
    <w:rsid w:val="00F07670"/>
    <w:rsid w:val="00F14345"/>
    <w:rsid w:val="00F145AD"/>
    <w:rsid w:val="00F15A91"/>
    <w:rsid w:val="00F15C89"/>
    <w:rsid w:val="00F16D8E"/>
    <w:rsid w:val="00F16F6B"/>
    <w:rsid w:val="00F17898"/>
    <w:rsid w:val="00F20BF2"/>
    <w:rsid w:val="00F21E22"/>
    <w:rsid w:val="00F22927"/>
    <w:rsid w:val="00F2331F"/>
    <w:rsid w:val="00F23E63"/>
    <w:rsid w:val="00F2419C"/>
    <w:rsid w:val="00F252DD"/>
    <w:rsid w:val="00F2585A"/>
    <w:rsid w:val="00F25C2D"/>
    <w:rsid w:val="00F26291"/>
    <w:rsid w:val="00F26A78"/>
    <w:rsid w:val="00F30059"/>
    <w:rsid w:val="00F3135E"/>
    <w:rsid w:val="00F32931"/>
    <w:rsid w:val="00F33968"/>
    <w:rsid w:val="00F349C3"/>
    <w:rsid w:val="00F352C3"/>
    <w:rsid w:val="00F379F4"/>
    <w:rsid w:val="00F40BB4"/>
    <w:rsid w:val="00F41965"/>
    <w:rsid w:val="00F44402"/>
    <w:rsid w:val="00F44802"/>
    <w:rsid w:val="00F44ACF"/>
    <w:rsid w:val="00F45F2C"/>
    <w:rsid w:val="00F46904"/>
    <w:rsid w:val="00F47216"/>
    <w:rsid w:val="00F4760F"/>
    <w:rsid w:val="00F53DDD"/>
    <w:rsid w:val="00F54320"/>
    <w:rsid w:val="00F5533F"/>
    <w:rsid w:val="00F57126"/>
    <w:rsid w:val="00F57A40"/>
    <w:rsid w:val="00F607EE"/>
    <w:rsid w:val="00F641A3"/>
    <w:rsid w:val="00F64324"/>
    <w:rsid w:val="00F6517F"/>
    <w:rsid w:val="00F65526"/>
    <w:rsid w:val="00F66A3D"/>
    <w:rsid w:val="00F7267A"/>
    <w:rsid w:val="00F727BE"/>
    <w:rsid w:val="00F72EF8"/>
    <w:rsid w:val="00F7371D"/>
    <w:rsid w:val="00F769B8"/>
    <w:rsid w:val="00F76A1E"/>
    <w:rsid w:val="00F76E60"/>
    <w:rsid w:val="00F76FE2"/>
    <w:rsid w:val="00F77D34"/>
    <w:rsid w:val="00F802D1"/>
    <w:rsid w:val="00F852D2"/>
    <w:rsid w:val="00F87CB0"/>
    <w:rsid w:val="00F900F9"/>
    <w:rsid w:val="00F901CD"/>
    <w:rsid w:val="00F921FE"/>
    <w:rsid w:val="00F92B93"/>
    <w:rsid w:val="00F95F9D"/>
    <w:rsid w:val="00F96B7B"/>
    <w:rsid w:val="00F974B8"/>
    <w:rsid w:val="00FA219E"/>
    <w:rsid w:val="00FA4267"/>
    <w:rsid w:val="00FA5A4E"/>
    <w:rsid w:val="00FA741B"/>
    <w:rsid w:val="00FB03B6"/>
    <w:rsid w:val="00FB167E"/>
    <w:rsid w:val="00FB1BD6"/>
    <w:rsid w:val="00FB294F"/>
    <w:rsid w:val="00FB4B71"/>
    <w:rsid w:val="00FB4F15"/>
    <w:rsid w:val="00FB7AEB"/>
    <w:rsid w:val="00FC04E1"/>
    <w:rsid w:val="00FC2C98"/>
    <w:rsid w:val="00FC3FB6"/>
    <w:rsid w:val="00FC48FB"/>
    <w:rsid w:val="00FC772E"/>
    <w:rsid w:val="00FD2216"/>
    <w:rsid w:val="00FD2B27"/>
    <w:rsid w:val="00FD3FB5"/>
    <w:rsid w:val="00FD4B02"/>
    <w:rsid w:val="00FD6C22"/>
    <w:rsid w:val="00FD6F19"/>
    <w:rsid w:val="00FE0951"/>
    <w:rsid w:val="00FE1FC2"/>
    <w:rsid w:val="00FE30CC"/>
    <w:rsid w:val="00FE5E34"/>
    <w:rsid w:val="00FF0AE5"/>
    <w:rsid w:val="00FF0C5C"/>
    <w:rsid w:val="00FF194F"/>
    <w:rsid w:val="00FF1998"/>
    <w:rsid w:val="00FF49C0"/>
    <w:rsid w:val="00FF5970"/>
    <w:rsid w:val="00FF6F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06E32731-0F3F-40DB-8ED0-D2024134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B20651"/>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ind w:left="68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99"/>
    <w:qFormat/>
    <w:pPr>
      <w:ind w:left="720"/>
    </w:pPr>
  </w:style>
  <w:style w:type="character" w:customStyle="1" w:styleId="Heading2Char">
    <w:name w:val="Heading 2 Char"/>
    <w:basedOn w:val="DefaultParagraphFont"/>
    <w:link w:val="Heading2"/>
    <w:uiPriority w:val="3"/>
    <w:rsid w:val="00B20651"/>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paragraph" w:styleId="BodyText">
    <w:name w:val="Body Text"/>
    <w:link w:val="BodyTextChar"/>
    <w:qFormat/>
    <w:rsid w:val="003F552B"/>
    <w:pPr>
      <w:spacing w:before="120" w:after="120" w:line="264" w:lineRule="auto"/>
    </w:pPr>
    <w:rPr>
      <w:rFonts w:ascii="Calibri" w:eastAsia="Calibri" w:hAnsi="Calibri"/>
      <w:color w:val="000000"/>
      <w:sz w:val="22"/>
      <w:szCs w:val="22"/>
    </w:rPr>
  </w:style>
  <w:style w:type="character" w:customStyle="1" w:styleId="BodyTextChar">
    <w:name w:val="Body Text Char"/>
    <w:basedOn w:val="DefaultParagraphFont"/>
    <w:link w:val="BodyText"/>
    <w:rsid w:val="003F552B"/>
    <w:rPr>
      <w:rFonts w:ascii="Calibri" w:eastAsia="Calibri" w:hAnsi="Calibri"/>
      <w:color w:val="000000"/>
      <w:sz w:val="22"/>
      <w:szCs w:val="22"/>
    </w:rPr>
  </w:style>
  <w:style w:type="character" w:customStyle="1" w:styleId="ListParagraphChar">
    <w:name w:val="List Paragraph Char"/>
    <w:basedOn w:val="DefaultParagraphFont"/>
    <w:link w:val="ListParagraph"/>
    <w:uiPriority w:val="99"/>
    <w:rsid w:val="000B5875"/>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B13877"/>
  </w:style>
  <w:style w:type="table" w:customStyle="1" w:styleId="TableTxt1">
    <w:name w:val="Table Txt1"/>
    <w:basedOn w:val="TableNormal"/>
    <w:next w:val="TableGrid"/>
    <w:rsid w:val="007B3976"/>
    <w:pPr>
      <w:spacing w:after="120"/>
    </w:pPr>
    <w:rPr>
      <w:rFonts w:ascii="Calibri" w:eastAsia="Calibri" w:hAnsi="Calibri"/>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UnresolvedMention">
    <w:name w:val="Unresolved Mention"/>
    <w:basedOn w:val="DefaultParagraphFont"/>
    <w:uiPriority w:val="99"/>
    <w:semiHidden/>
    <w:unhideWhenUsed/>
    <w:rsid w:val="004213DF"/>
    <w:rPr>
      <w:color w:val="605E5C"/>
      <w:shd w:val="clear" w:color="auto" w:fill="E1DFDD"/>
    </w:rPr>
  </w:style>
  <w:style w:type="paragraph" w:styleId="PlainText">
    <w:name w:val="Plain Text"/>
    <w:basedOn w:val="Normal"/>
    <w:link w:val="PlainTextChar"/>
    <w:uiPriority w:val="99"/>
    <w:semiHidden/>
    <w:unhideWhenUsed/>
    <w:rsid w:val="00672C85"/>
    <w:pPr>
      <w:spacing w:after="0" w:line="240" w:lineRule="auto"/>
    </w:pPr>
    <w:rPr>
      <w:rFonts w:ascii="Calibri" w:hAnsi="Calibri" w:cs="Times New Roman"/>
      <w:sz w:val="24"/>
      <w:szCs w:val="24"/>
    </w:rPr>
  </w:style>
  <w:style w:type="character" w:customStyle="1" w:styleId="PlainTextChar">
    <w:name w:val="Plain Text Char"/>
    <w:basedOn w:val="DefaultParagraphFont"/>
    <w:link w:val="PlainText"/>
    <w:uiPriority w:val="99"/>
    <w:semiHidden/>
    <w:rsid w:val="00672C85"/>
    <w:rPr>
      <w:rFonts w:ascii="Calibri" w:eastAsiaTheme="minorHAnsi" w:hAnsi="Calibri"/>
      <w:sz w:val="24"/>
      <w:szCs w:val="24"/>
      <w:lang w:eastAsia="en-US"/>
    </w:rPr>
  </w:style>
  <w:style w:type="paragraph" w:styleId="FootnoteText">
    <w:name w:val="footnote text"/>
    <w:basedOn w:val="Normal"/>
    <w:link w:val="FootnoteTextChar"/>
    <w:semiHidden/>
    <w:rsid w:val="00206104"/>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semiHidden/>
    <w:rsid w:val="00206104"/>
    <w:rPr>
      <w:rFonts w:ascii="Garamond" w:eastAsiaTheme="minorEastAsia" w:hAnsi="Garamond" w:cstheme="minorBidi"/>
      <w:sz w:val="22"/>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344585">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21472194">
      <w:bodyDiv w:val="1"/>
      <w:marLeft w:val="0"/>
      <w:marRight w:val="0"/>
      <w:marTop w:val="0"/>
      <w:marBottom w:val="0"/>
      <w:divBdr>
        <w:top w:val="none" w:sz="0" w:space="0" w:color="auto"/>
        <w:left w:val="none" w:sz="0" w:space="0" w:color="auto"/>
        <w:bottom w:val="none" w:sz="0" w:space="0" w:color="auto"/>
        <w:right w:val="none" w:sz="0" w:space="0" w:color="auto"/>
      </w:divBdr>
    </w:div>
    <w:div w:id="32632480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848969">
      <w:bodyDiv w:val="1"/>
      <w:marLeft w:val="0"/>
      <w:marRight w:val="0"/>
      <w:marTop w:val="0"/>
      <w:marBottom w:val="0"/>
      <w:divBdr>
        <w:top w:val="none" w:sz="0" w:space="0" w:color="auto"/>
        <w:left w:val="none" w:sz="0" w:space="0" w:color="auto"/>
        <w:bottom w:val="none" w:sz="0" w:space="0" w:color="auto"/>
        <w:right w:val="none" w:sz="0" w:space="0" w:color="auto"/>
      </w:divBdr>
    </w:div>
    <w:div w:id="39401219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1996567">
      <w:bodyDiv w:val="1"/>
      <w:marLeft w:val="0"/>
      <w:marRight w:val="0"/>
      <w:marTop w:val="0"/>
      <w:marBottom w:val="0"/>
      <w:divBdr>
        <w:top w:val="none" w:sz="0" w:space="0" w:color="auto"/>
        <w:left w:val="none" w:sz="0" w:space="0" w:color="auto"/>
        <w:bottom w:val="none" w:sz="0" w:space="0" w:color="auto"/>
        <w:right w:val="none" w:sz="0" w:space="0" w:color="auto"/>
      </w:divBdr>
      <w:divsChild>
        <w:div w:id="2057897515">
          <w:marLeft w:val="0"/>
          <w:marRight w:val="0"/>
          <w:marTop w:val="0"/>
          <w:marBottom w:val="0"/>
          <w:divBdr>
            <w:top w:val="none" w:sz="0" w:space="0" w:color="auto"/>
            <w:left w:val="none" w:sz="0" w:space="0" w:color="auto"/>
            <w:bottom w:val="none" w:sz="0" w:space="0" w:color="auto"/>
            <w:right w:val="none" w:sz="0" w:space="0" w:color="auto"/>
          </w:divBdr>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3185">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4779">
      <w:bodyDiv w:val="1"/>
      <w:marLeft w:val="0"/>
      <w:marRight w:val="0"/>
      <w:marTop w:val="0"/>
      <w:marBottom w:val="0"/>
      <w:divBdr>
        <w:top w:val="none" w:sz="0" w:space="0" w:color="auto"/>
        <w:left w:val="none" w:sz="0" w:space="0" w:color="auto"/>
        <w:bottom w:val="none" w:sz="0" w:space="0" w:color="auto"/>
        <w:right w:val="none" w:sz="0" w:space="0" w:color="auto"/>
      </w:divBdr>
    </w:div>
    <w:div w:id="1227648162">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772875">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972697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95952">
      <w:bodyDiv w:val="1"/>
      <w:marLeft w:val="0"/>
      <w:marRight w:val="0"/>
      <w:marTop w:val="0"/>
      <w:marBottom w:val="0"/>
      <w:divBdr>
        <w:top w:val="none" w:sz="0" w:space="0" w:color="auto"/>
        <w:left w:val="none" w:sz="0" w:space="0" w:color="auto"/>
        <w:bottom w:val="none" w:sz="0" w:space="0" w:color="auto"/>
        <w:right w:val="none" w:sz="0" w:space="0" w:color="auto"/>
      </w:divBdr>
      <w:divsChild>
        <w:div w:id="1958372074">
          <w:marLeft w:val="0"/>
          <w:marRight w:val="0"/>
          <w:marTop w:val="0"/>
          <w:marBottom w:val="0"/>
          <w:divBdr>
            <w:top w:val="none" w:sz="0" w:space="0" w:color="auto"/>
            <w:left w:val="none" w:sz="0" w:space="0" w:color="auto"/>
            <w:bottom w:val="none" w:sz="0" w:space="0" w:color="auto"/>
            <w:right w:val="none" w:sz="0" w:space="0" w:color="auto"/>
          </w:divBdr>
        </w:div>
      </w:divsChild>
    </w:div>
    <w:div w:id="1523393733">
      <w:bodyDiv w:val="1"/>
      <w:marLeft w:val="0"/>
      <w:marRight w:val="0"/>
      <w:marTop w:val="0"/>
      <w:marBottom w:val="0"/>
      <w:divBdr>
        <w:top w:val="none" w:sz="0" w:space="0" w:color="auto"/>
        <w:left w:val="none" w:sz="0" w:space="0" w:color="auto"/>
        <w:bottom w:val="none" w:sz="0" w:space="0" w:color="auto"/>
        <w:right w:val="none" w:sz="0" w:space="0" w:color="auto"/>
      </w:divBdr>
      <w:divsChild>
        <w:div w:id="1901211630">
          <w:marLeft w:val="0"/>
          <w:marRight w:val="0"/>
          <w:marTop w:val="0"/>
          <w:marBottom w:val="0"/>
          <w:divBdr>
            <w:top w:val="none" w:sz="0" w:space="0" w:color="auto"/>
            <w:left w:val="none" w:sz="0" w:space="0" w:color="auto"/>
            <w:bottom w:val="none" w:sz="0" w:space="0" w:color="auto"/>
            <w:right w:val="none" w:sz="0" w:space="0" w:color="auto"/>
          </w:divBdr>
          <w:divsChild>
            <w:div w:id="1086341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092589">
      <w:bodyDiv w:val="1"/>
      <w:marLeft w:val="0"/>
      <w:marRight w:val="0"/>
      <w:marTop w:val="0"/>
      <w:marBottom w:val="0"/>
      <w:divBdr>
        <w:top w:val="none" w:sz="0" w:space="0" w:color="auto"/>
        <w:left w:val="none" w:sz="0" w:space="0" w:color="auto"/>
        <w:bottom w:val="none" w:sz="0" w:space="0" w:color="auto"/>
        <w:right w:val="none" w:sz="0" w:space="0" w:color="auto"/>
      </w:divBdr>
      <w:divsChild>
        <w:div w:id="1459450465">
          <w:marLeft w:val="0"/>
          <w:marRight w:val="0"/>
          <w:marTop w:val="0"/>
          <w:marBottom w:val="0"/>
          <w:divBdr>
            <w:top w:val="none" w:sz="0" w:space="0" w:color="auto"/>
            <w:left w:val="none" w:sz="0" w:space="0" w:color="auto"/>
            <w:bottom w:val="none" w:sz="0" w:space="0" w:color="auto"/>
            <w:right w:val="none" w:sz="0" w:space="0" w:color="auto"/>
          </w:divBdr>
        </w:div>
        <w:div w:id="440757358">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5656180">
      <w:bodyDiv w:val="1"/>
      <w:marLeft w:val="0"/>
      <w:marRight w:val="0"/>
      <w:marTop w:val="0"/>
      <w:marBottom w:val="0"/>
      <w:divBdr>
        <w:top w:val="none" w:sz="0" w:space="0" w:color="auto"/>
        <w:left w:val="none" w:sz="0" w:space="0" w:color="auto"/>
        <w:bottom w:val="none" w:sz="0" w:space="0" w:color="auto"/>
        <w:right w:val="none" w:sz="0" w:space="0" w:color="auto"/>
      </w:divBdr>
      <w:divsChild>
        <w:div w:id="1741174123">
          <w:marLeft w:val="0"/>
          <w:marRight w:val="0"/>
          <w:marTop w:val="0"/>
          <w:marBottom w:val="0"/>
          <w:divBdr>
            <w:top w:val="none" w:sz="0" w:space="0" w:color="auto"/>
            <w:left w:val="none" w:sz="0" w:space="0" w:color="auto"/>
            <w:bottom w:val="none" w:sz="0" w:space="0" w:color="auto"/>
            <w:right w:val="none" w:sz="0" w:space="0" w:color="auto"/>
          </w:divBdr>
        </w:div>
      </w:divsChild>
    </w:div>
    <w:div w:id="1593775799">
      <w:bodyDiv w:val="1"/>
      <w:marLeft w:val="0"/>
      <w:marRight w:val="0"/>
      <w:marTop w:val="0"/>
      <w:marBottom w:val="0"/>
      <w:divBdr>
        <w:top w:val="none" w:sz="0" w:space="0" w:color="auto"/>
        <w:left w:val="none" w:sz="0" w:space="0" w:color="auto"/>
        <w:bottom w:val="none" w:sz="0" w:space="0" w:color="auto"/>
        <w:right w:val="none" w:sz="0" w:space="0" w:color="auto"/>
      </w:divBdr>
      <w:divsChild>
        <w:div w:id="1883245761">
          <w:marLeft w:val="0"/>
          <w:marRight w:val="0"/>
          <w:marTop w:val="0"/>
          <w:marBottom w:val="0"/>
          <w:divBdr>
            <w:top w:val="none" w:sz="0" w:space="0" w:color="auto"/>
            <w:left w:val="none" w:sz="0" w:space="0" w:color="auto"/>
            <w:bottom w:val="none" w:sz="0" w:space="0" w:color="auto"/>
            <w:right w:val="none" w:sz="0" w:space="0" w:color="auto"/>
          </w:divBdr>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362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39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439426">
      <w:bodyDiv w:val="1"/>
      <w:marLeft w:val="0"/>
      <w:marRight w:val="0"/>
      <w:marTop w:val="0"/>
      <w:marBottom w:val="0"/>
      <w:divBdr>
        <w:top w:val="none" w:sz="0" w:space="0" w:color="auto"/>
        <w:left w:val="none" w:sz="0" w:space="0" w:color="auto"/>
        <w:bottom w:val="none" w:sz="0" w:space="0" w:color="auto"/>
        <w:right w:val="none" w:sz="0" w:space="0" w:color="auto"/>
      </w:divBdr>
      <w:divsChild>
        <w:div w:id="23793765">
          <w:marLeft w:val="0"/>
          <w:marRight w:val="0"/>
          <w:marTop w:val="0"/>
          <w:marBottom w:val="0"/>
          <w:divBdr>
            <w:top w:val="none" w:sz="0" w:space="0" w:color="auto"/>
            <w:left w:val="none" w:sz="0" w:space="0" w:color="auto"/>
            <w:bottom w:val="none" w:sz="0" w:space="0" w:color="auto"/>
            <w:right w:val="none" w:sz="0" w:space="0" w:color="auto"/>
          </w:divBdr>
        </w:div>
        <w:div w:id="2030331890">
          <w:marLeft w:val="0"/>
          <w:marRight w:val="0"/>
          <w:marTop w:val="0"/>
          <w:marBottom w:val="0"/>
          <w:divBdr>
            <w:top w:val="none" w:sz="0" w:space="0" w:color="auto"/>
            <w:left w:val="none" w:sz="0" w:space="0" w:color="auto"/>
            <w:bottom w:val="none" w:sz="0" w:space="0" w:color="auto"/>
            <w:right w:val="none" w:sz="0" w:space="0" w:color="auto"/>
          </w:divBdr>
        </w:div>
        <w:div w:id="1469124249">
          <w:marLeft w:val="0"/>
          <w:marRight w:val="0"/>
          <w:marTop w:val="0"/>
          <w:marBottom w:val="0"/>
          <w:divBdr>
            <w:top w:val="none" w:sz="0" w:space="0" w:color="auto"/>
            <w:left w:val="none" w:sz="0" w:space="0" w:color="auto"/>
            <w:bottom w:val="none" w:sz="0" w:space="0" w:color="auto"/>
            <w:right w:val="none" w:sz="0" w:space="0" w:color="auto"/>
          </w:divBdr>
        </w:div>
        <w:div w:id="419521052">
          <w:marLeft w:val="0"/>
          <w:marRight w:val="0"/>
          <w:marTop w:val="0"/>
          <w:marBottom w:val="0"/>
          <w:divBdr>
            <w:top w:val="none" w:sz="0" w:space="0" w:color="auto"/>
            <w:left w:val="none" w:sz="0" w:space="0" w:color="auto"/>
            <w:bottom w:val="none" w:sz="0" w:space="0" w:color="auto"/>
            <w:right w:val="none" w:sz="0" w:space="0" w:color="auto"/>
          </w:divBdr>
        </w:div>
        <w:div w:id="1526141416">
          <w:marLeft w:val="0"/>
          <w:marRight w:val="0"/>
          <w:marTop w:val="0"/>
          <w:marBottom w:val="0"/>
          <w:divBdr>
            <w:top w:val="none" w:sz="0" w:space="0" w:color="auto"/>
            <w:left w:val="none" w:sz="0" w:space="0" w:color="auto"/>
            <w:bottom w:val="none" w:sz="0" w:space="0" w:color="auto"/>
            <w:right w:val="none" w:sz="0" w:space="0" w:color="auto"/>
          </w:divBdr>
          <w:divsChild>
            <w:div w:id="20509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header" Target="header2.xml"/><Relationship Id="rId42" Type="http://schemas.openxmlformats.org/officeDocument/2006/relationships/footer" Target="footer9.xml"/><Relationship Id="rId47" Type="http://schemas.openxmlformats.org/officeDocument/2006/relationships/image" Target="media/image6.png"/><Relationship Id="rId63" Type="http://schemas.openxmlformats.org/officeDocument/2006/relationships/hyperlink" Target="https://cfpub.epa.gov/ecotox/" TargetMode="External"/><Relationship Id="rId68" Type="http://schemas.openxmlformats.org/officeDocument/2006/relationships/footer" Target="footer11.xm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dcceew.gov.au" TargetMode="External"/><Relationship Id="rId29" Type="http://schemas.microsoft.com/office/2016/09/relationships/commentsIds" Target="commentsIds.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53" Type="http://schemas.openxmlformats.org/officeDocument/2006/relationships/hyperlink" Target="https://eatsafe.nzfsa.govt.nz/web/public/acvm-register" TargetMode="External"/><Relationship Id="rId58" Type="http://schemas.openxmlformats.org/officeDocument/2006/relationships/hyperlink" Target="https://eur-lex.europa.eu/LexUriServ/LexUriServ.do?uri=OJ:L:2010:060:0005:0008:EN:PDF" TargetMode="External"/><Relationship Id="rId66" Type="http://schemas.openxmlformats.org/officeDocument/2006/relationships/header" Target="header11.xml"/><Relationship Id="rId5" Type="http://schemas.openxmlformats.org/officeDocument/2006/relationships/customXml" Target="../customXml/item5.xml"/><Relationship Id="rId61" Type="http://schemas.openxmlformats.org/officeDocument/2006/relationships/hyperlink" Target="http://www.catalogueoflife.org" TargetMode="External"/><Relationship Id="rId19" Type="http://schemas.openxmlformats.org/officeDocument/2006/relationships/image" Target="media/image2.jpg"/><Relationship Id="rId14" Type="http://schemas.openxmlformats.org/officeDocument/2006/relationships/hyperlink" Target="https://creativecommons.org/licenses/by/4.0/" TargetMode="External"/><Relationship Id="rId22" Type="http://schemas.openxmlformats.org/officeDocument/2006/relationships/footer" Target="footer1.xml"/><Relationship Id="rId27" Type="http://schemas.openxmlformats.org/officeDocument/2006/relationships/comments" Target="comments.xml"/><Relationship Id="rId30" Type="http://schemas.openxmlformats.org/officeDocument/2006/relationships/image" Target="media/image5.png"/><Relationship Id="rId35" Type="http://schemas.openxmlformats.org/officeDocument/2006/relationships/header" Target="header6.xml"/><Relationship Id="rId43" Type="http://schemas.microsoft.com/office/2014/relationships/chartEx" Target="charts/chartEx1.xml"/><Relationship Id="rId48" Type="http://schemas.microsoft.com/office/2014/relationships/chartEx" Target="charts/chartEx2.xml"/><Relationship Id="rId56" Type="http://schemas.openxmlformats.org/officeDocument/2006/relationships/hyperlink" Target="https://portal.apvma.gov.au/pubcris" TargetMode="External"/><Relationship Id="rId64" Type="http://schemas.openxmlformats.org/officeDocument/2006/relationships/hyperlink" Target="https://www.marinespecies.org/" TargetMode="External"/><Relationship Id="rId69" Type="http://schemas.openxmlformats.org/officeDocument/2006/relationships/header" Target="header12.xml"/><Relationship Id="rId8" Type="http://schemas.openxmlformats.org/officeDocument/2006/relationships/styles" Target="styles.xml"/><Relationship Id="rId51" Type="http://schemas.openxmlformats.org/officeDocument/2006/relationships/image" Target="media/image8.png"/><Relationship Id="rId72" Type="http://schemas.openxmlformats.org/officeDocument/2006/relationships/theme" Target="theme/theme1.xml"/><Relationship Id="rId12" Type="http://schemas.openxmlformats.org/officeDocument/2006/relationships/endnotes" Target="endnotes.xml"/><Relationship Id="rId17" Type="http://schemas.openxmlformats.org/officeDocument/2006/relationships/hyperlink" Target="http://www.waterquality.gov.au/anz-guidelines/guideline-values/default/water-quality-toxicants/toxicants" TargetMode="Externa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image" Target="media/image70.png"/><Relationship Id="rId59" Type="http://schemas.openxmlformats.org/officeDocument/2006/relationships/hyperlink" Target="https://www.algaebase.org/" TargetMode="External"/><Relationship Id="rId67" Type="http://schemas.openxmlformats.org/officeDocument/2006/relationships/footer" Target="footer10.xml"/><Relationship Id="rId20" Type="http://schemas.openxmlformats.org/officeDocument/2006/relationships/header" Target="header1.xml"/><Relationship Id="rId41" Type="http://schemas.openxmlformats.org/officeDocument/2006/relationships/header" Target="header9.xml"/><Relationship Id="rId54" Type="http://schemas.openxmlformats.org/officeDocument/2006/relationships/hyperlink" Target="https://www.ala.org.au/" TargetMode="External"/><Relationship Id="rId62" Type="http://schemas.openxmlformats.org/officeDocument/2006/relationships/hyperlink" Target="https://sitem.herts.ac.uk/aeru/ppdb/en/index.htm" TargetMode="External"/><Relationship Id="rId7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creativecommons.org/licenses/by/4.0/legalcode" TargetMode="External"/><Relationship Id="rId23" Type="http://schemas.openxmlformats.org/officeDocument/2006/relationships/footer" Target="footer2.xml"/><Relationship Id="rId28" Type="http://schemas.microsoft.com/office/2011/relationships/commentsExtended" Target="commentsExtended.xml"/><Relationship Id="rId36" Type="http://schemas.openxmlformats.org/officeDocument/2006/relationships/footer" Target="footer6.xml"/><Relationship Id="rId49" Type="http://schemas.openxmlformats.org/officeDocument/2006/relationships/image" Target="media/image9.png"/><Relationship Id="rId57" Type="http://schemas.openxmlformats.org/officeDocument/2006/relationships/hyperlink" Target="https://ccme.ca/en/res/simazine-en-canadian-water-quality-guidelines-for-the-protection-of-aquatic-life.pdf" TargetMode="External"/><Relationship Id="rId10" Type="http://schemas.openxmlformats.org/officeDocument/2006/relationships/webSettings" Target="webSettings.xml"/><Relationship Id="rId31" Type="http://schemas.openxmlformats.org/officeDocument/2006/relationships/header" Target="header4.xml"/><Relationship Id="rId52" Type="http://schemas.openxmlformats.org/officeDocument/2006/relationships/image" Target="media/image10.png"/><Relationship Id="rId60" Type="http://schemas.openxmlformats.org/officeDocument/2006/relationships/hyperlink" Target="https://www.itis.gov/" TargetMode="External"/><Relationship Id="rId65" Type="http://schemas.openxmlformats.org/officeDocument/2006/relationships/header" Target="header10.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waterquality@dcceew.gov.au" TargetMode="External"/><Relationship Id="rId39" Type="http://schemas.openxmlformats.org/officeDocument/2006/relationships/footer" Target="footer7.xml"/><Relationship Id="rId34" Type="http://schemas.openxmlformats.org/officeDocument/2006/relationships/footer" Target="footer5.xml"/><Relationship Id="rId50" Type="http://schemas.openxmlformats.org/officeDocument/2006/relationships/image" Target="media/image7.png"/><Relationship Id="rId55" Type="http://schemas.openxmlformats.org/officeDocument/2006/relationships/hyperlink" Target="https://www.waterquality.gov.au/anz-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anieTRENFIELD\AppData\Local\Microsoft\Windows\INetCache\Content.Outlook\UR9VU1PH\SSD_New%20Modality%20Method%2010122024.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elanieTRENFIELD\AppData\Local\Microsoft\Windows\INetCache\Content.Outlook\UR9VU1PH\SSD_New%20Modality%20Method%2010122024.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('C:\Users\kingo\AppData\Local\Microsoft\Windows\INetCache\Content.Outlook\2J03T0CS\[SSD_New Modality Method 01112021.xlsx]Simazine'!$D$3:$D$19,'C:\Users\kingo\AppData\Local\Microsoft\Windows\INetCache\Content.Outlook\2J03T0CS\[SSD_New Modality Method 01112021.xlsx]Simazine'!$D$30:$D$42)</cx:f>
        <cx:lvl ptCount="30" formatCode="General">
          <cx:pt idx="0">2</cx:pt>
          <cx:pt idx="1">2</cx:pt>
          <cx:pt idx="2">1.505149978319906</cx:pt>
          <cx:pt idx="3">2.4771212547196626</cx:pt>
          <cx:pt idx="4">1.7634279935629373</cx:pt>
          <cx:pt idx="5">0.85733249643126852</cx:pt>
          <cx:pt idx="6">1.4471580313422192</cx:pt>
          <cx:pt idx="7">1.255272505103306</cx:pt>
          <cx:pt idx="8">2.2332355414043734</cx:pt>
          <cx:pt idx="9">2.4152030123116628</cx:pt>
          <cx:pt idx="10">1.9265467140649297</cx:pt>
          <cx:pt idx="11">1.3010299956639813</cx:pt>
          <cx:pt idx="12">1.7109631189952756</cx:pt>
          <cx:pt idx="13">1.4771212547196624</cx:pt>
          <cx:pt idx="14">1.2201080880400552</cx:pt>
          <cx:pt idx="15">3.7551122663950713</cx:pt>
          <cx:pt idx="16">0.75486241033177515</cx:pt>
          <cx:pt idx="17">1.6532125137753437</cx:pt>
          <cx:pt idx="18">3</cx:pt>
          <cx:pt idx="19">3</cx:pt>
          <cx:pt idx="20">3</cx:pt>
          <cx:pt idx="21">2.6989700043360187</cx:pt>
          <cx:pt idx="22">3</cx:pt>
          <cx:pt idx="23">4</cx:pt>
          <cx:pt idx="24">4</cx:pt>
          <cx:pt idx="25">3.1139433523068369</cx:pt>
          <cx:pt idx="26">3.4857214264815801</cx:pt>
          <cx:pt idx="27">4</cx:pt>
          <cx:pt idx="28">2.2787536009528289</cx:pt>
          <cx:pt idx="29">3</cx:pt>
        </cx:lvl>
      </cx:numDim>
    </cx:data>
    <cx:data id="1">
      <cx:numDim type="val">
        <cx:f>('C:\Users\kingo\AppData\Local\Microsoft\Windows\INetCache\Content.Outlook\2J03T0CS\[SSD_New Modality Method 01112021.xlsx]Simazine'!$D$20:$D$29,'C:\Users\kingo\AppData\Local\Microsoft\Windows\INetCache\Content.Outlook\2J03T0CS\[SSD_New Modality Method 01112021.xlsx]Simazine'!$D$43:$D$46)</cx:f>
        <cx:lvl ptCount="14" formatCode="General">
          <cx:pt idx="0">2.4913616938342726</cx:pt>
          <cx:pt idx="1">2</cx:pt>
          <cx:pt idx="2">2.3979400086720375</cx:pt>
          <cx:pt idx="3">2.4099331233312946</cx:pt>
          <cx:pt idx="4">1.5843312243675307</cx:pt>
          <cx:pt idx="5">1.5740312677277188</cx:pt>
          <cx:pt idx="6">1.7795964912578246</cx:pt>
          <cx:pt idx="7">2.6020599913279625</cx:pt>
          <cx:pt idx="8">3</cx:pt>
          <cx:pt idx="9">2</cx:pt>
          <cx:pt idx="10">2.568201724066995</cx:pt>
          <cx:pt idx="11">4.0530784434834199</cx:pt>
          <cx:pt idx="12">5</cx:pt>
          <cx:pt idx="13">4</cx:pt>
        </cx:lvl>
      </cx:numDim>
    </cx:data>
  </cx:chartData>
  <cx:chart>
    <cx:plotArea>
      <cx:plotAreaRegion>
        <cx:series layoutId="boxWhisker" uniqueId="{5071FB81-1FB5-4BC3-9767-B3A0BC9EE362}">
          <cx:tx>
            <cx:txData>
              <cx:f/>
              <cx:v>Freshwater species</cx:v>
            </cx:txData>
          </cx:tx>
          <cx:dataId val="0"/>
          <cx:layoutPr>
            <cx:visibility meanLine="0" meanMarker="1" nonoutliers="0" outliers="1"/>
            <cx:statistics quartileMethod="exclusive"/>
          </cx:layoutPr>
        </cx:series>
        <cx:series layoutId="boxWhisker" uniqueId="{00000001-C527-4BBD-A2D1-B3E3E923A518}">
          <cx:tx>
            <cx:txData>
              <cx:f/>
              <cx:v>Marine species</cx:v>
            </cx:txData>
          </cx:tx>
          <cx:dataId val="1"/>
          <cx:layoutPr>
            <cx:visibility meanLine="0" meanMarker="1" nonoutliers="1" outliers="1"/>
            <cx:statistics quartileMethod="exclusive"/>
          </cx:layoutPr>
        </cx:series>
      </cx:plotAreaRegion>
      <cx:axis id="0" hidden="1">
        <cx:catScaling gapWidth="1"/>
        <cx:title>
          <cx:tx>
            <cx:txData>
              <cx:v>Taxa type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Taxa type</a:t>
              </a:r>
            </a:p>
          </cx:txPr>
        </cx:title>
        <cx:tickLabels/>
      </cx:axis>
      <cx:axis id="1">
        <cx:valScaling max="5"/>
        <cx:title>
          <cx:tx>
            <cx:txData>
              <cx:v>Log Toxicity</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Log Toxicity</a:t>
              </a:r>
            </a:p>
          </cx:txPr>
        </cx:title>
        <cx:tickLabels/>
        <cx:numFmt formatCode="#,##0.0" sourceLinked="0"/>
      </cx:axis>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panose="020F0502020204030204"/>
          </a:endParaRPr>
        </a:p>
      </cx:txPr>
    </cx:legend>
  </cx:chart>
  <cx:spPr>
    <a:ln>
      <a:solidFill>
        <a:schemeClr val="bg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'C:\Users\kingo\AppData\Local\Microsoft\Windows\INetCache\Content.Outlook\2J03T0CS\[SSD_New Modality Method 01112021.xlsx]Simazine'!$D$3:$D$29</cx:f>
        <cx:lvl ptCount="27" formatCode="General">
          <cx:pt idx="0">2</cx:pt>
          <cx:pt idx="1">2</cx:pt>
          <cx:pt idx="2">1.505149978319906</cx:pt>
          <cx:pt idx="3">2.4771212547196626</cx:pt>
          <cx:pt idx="4">1.7634279935629373</cx:pt>
          <cx:pt idx="5">0.85733249643126852</cx:pt>
          <cx:pt idx="6">1.4471580313422192</cx:pt>
          <cx:pt idx="7">1.255272505103306</cx:pt>
          <cx:pt idx="8">2.2332355414043734</cx:pt>
          <cx:pt idx="9">2.4152030123116628</cx:pt>
          <cx:pt idx="10">1.9265467140649297</cx:pt>
          <cx:pt idx="11">1.3010299956639813</cx:pt>
          <cx:pt idx="12">1.7109631189952756</cx:pt>
          <cx:pt idx="13">1.4771212547196624</cx:pt>
          <cx:pt idx="14">1.2201080880400552</cx:pt>
          <cx:pt idx="15">3.7551122663950713</cx:pt>
          <cx:pt idx="16">0.75486241033177515</cx:pt>
          <cx:pt idx="17">2.4913616938342726</cx:pt>
          <cx:pt idx="18">2</cx:pt>
          <cx:pt idx="19">2.3979400086720375</cx:pt>
          <cx:pt idx="20">2.4099331233312946</cx:pt>
          <cx:pt idx="21">1.5843312243675307</cx:pt>
          <cx:pt idx="22">1.5740312677277188</cx:pt>
          <cx:pt idx="23">1.7795964912578246</cx:pt>
          <cx:pt idx="24">2.6020599913279625</cx:pt>
          <cx:pt idx="25">3</cx:pt>
          <cx:pt idx="26">2</cx:pt>
        </cx:lvl>
      </cx:numDim>
    </cx:data>
    <cx:data id="1">
      <cx:numDim type="val">
        <cx:f>'C:\Users\kingo\AppData\Local\Microsoft\Windows\INetCache\Content.Outlook\2J03T0CS\[SSD_New Modality Method 01112021.xlsx]Simazine'!$D$30:$D$46</cx:f>
        <cx:lvl ptCount="17" formatCode="General">
          <cx:pt idx="0">1.6532125137753437</cx:pt>
          <cx:pt idx="1">3</cx:pt>
          <cx:pt idx="2">3</cx:pt>
          <cx:pt idx="3">3</cx:pt>
          <cx:pt idx="4">2.6989700043360187</cx:pt>
          <cx:pt idx="5">3</cx:pt>
          <cx:pt idx="6">4</cx:pt>
          <cx:pt idx="7">4</cx:pt>
          <cx:pt idx="8">3.1139433523068369</cx:pt>
          <cx:pt idx="9">3.4857214264815801</cx:pt>
          <cx:pt idx="10">4</cx:pt>
          <cx:pt idx="11">2.2787536009528289</cx:pt>
          <cx:pt idx="12">3</cx:pt>
          <cx:pt idx="13">2.568201724066995</cx:pt>
          <cx:pt idx="14">4.0530784434834199</cx:pt>
          <cx:pt idx="15">5</cx:pt>
          <cx:pt idx="16">4</cx:pt>
        </cx:lvl>
      </cx:numDim>
    </cx:data>
  </cx:chartData>
  <cx:chart>
    <cx:plotArea>
      <cx:plotAreaRegion>
        <cx:series layoutId="boxWhisker" uniqueId="{5071FB81-1FB5-4BC3-9767-B3A0BC9EE362}">
          <cx:tx>
            <cx:txData>
              <cx:f/>
              <cx:v>Phototroph toxicity data</cx:v>
            </cx:txData>
          </cx:tx>
          <cx:dataId val="0"/>
          <cx:layoutPr>
            <cx:visibility meanLine="0" meanMarker="1" nonoutliers="0" outliers="1"/>
            <cx:statistics quartileMethod="exclusive"/>
          </cx:layoutPr>
        </cx:series>
        <cx:series layoutId="boxWhisker" uniqueId="{00000001-C527-4BBD-A2D1-B3E3E923A518}">
          <cx:tx>
            <cx:txData>
              <cx:f/>
              <cx:v>Heterotroph toxicity data</cx:v>
            </cx:txData>
          </cx:tx>
          <cx:dataId val="1"/>
          <cx:layoutPr>
            <cx:statistics quartileMethod="exclusive"/>
          </cx:layoutPr>
        </cx:series>
      </cx:plotAreaRegion>
      <cx:axis id="0" hidden="1">
        <cx:catScaling gapWidth="1"/>
        <cx:title>
          <cx:tx>
            <cx:txData>
              <cx:v>Taxa type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Taxa type</a:t>
              </a:r>
            </a:p>
          </cx:txPr>
        </cx:title>
        <cx:tickLabels/>
      </cx:axis>
      <cx:axis id="1">
        <cx:valScaling/>
        <cx:title>
          <cx:tx>
            <cx:txData>
              <cx:v>Log Toxicity</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Log Toxicity</a:t>
              </a:r>
            </a:p>
          </cx:txPr>
        </cx:title>
        <cx:tickLabels/>
        <cx:numFmt formatCode="#,##0.0" sourceLinked="0"/>
      </cx:axis>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rot="-60000000" vert="horz"/>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rot="-60000000" vert="horz"/>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rot="0" vert="horz"/>
  </cs:title>
  <cs:trendline>
    <cs:lnRef idx="0"/>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bodyPr rot="-60000000" vert="horz"/>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ACCA3D6E-3C18-FD49-94F6-150BFEA98EB3}">
  <ds:schemaRefs>
    <ds:schemaRef ds:uri="http://schemas.openxmlformats.org/officeDocument/2006/bibliography"/>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4.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5.xml><?xml version="1.0" encoding="utf-8"?>
<ds:datastoreItem xmlns:ds="http://schemas.openxmlformats.org/officeDocument/2006/customXml" ds:itemID="{B33B378D-D2DA-4E38-B30D-9A98DDC42453}"/>
</file>

<file path=customXml/itemProps6.xml><?xml version="1.0" encoding="utf-8"?>
<ds:datastoreItem xmlns:ds="http://schemas.openxmlformats.org/officeDocument/2006/customXml" ds:itemID="{A1D323EF-822C-4E4A-9DA5-304476EA7B2B}">
  <ds:schemaRefs>
    <ds:schemaRef ds:uri="http://schemas.microsoft.com/office/2006/metadata/properties"/>
    <ds:schemaRef ds:uri="c25cb30a-de11-40ab-bdcc-f1d56023b01d"/>
    <ds:schemaRef ds:uri="http://schemas.microsoft.com/sharepoint/v4"/>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TotalTime>
  <Pages>26</Pages>
  <Words>7901</Words>
  <Characters>45038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Simazine in marine water</vt:lpstr>
    </vt:vector>
  </TitlesOfParts>
  <Manager/>
  <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Simazine in marine water</dc:title>
  <dc:creator>Olivia King</dc:creator>
  <cp:lastModifiedBy>Huda ALMAAROFI</cp:lastModifiedBy>
  <cp:revision>14</cp:revision>
  <cp:lastPrinted>2025-02-18T03:44:00Z</cp:lastPrinted>
  <dcterms:created xsi:type="dcterms:W3CDTF">2025-02-11T00:20:00Z</dcterms:created>
  <dcterms:modified xsi:type="dcterms:W3CDTF">2025-02-18T03:44:00Z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eDOCS AutoSave">
    <vt:lpwstr/>
  </property>
  <property fmtid="{D5CDD505-2E9C-101B-9397-08002B2CF9AE}" pid="4" name="ClassificationContentMarkingHeaderShapeIds">
    <vt:lpwstr>73cbe792,1e137a8f,49007193,45ce7d06,43c39cce,26d45488,6f6fafef,2499f65c,b82a24a,4e9ebe95,47d8f5d0,7afeaed9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3facef7d,512d3148,4c62139c,655cebf0,3cd14022,4401c0fc,4f77f800,6dc53aaf,5e686a8b,8c9d8b8,896fffe,5e95c47b</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